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10" w:before="0" w:line="240" w:lineRule="auto"/>
      </w:pPr>
      <w:r>
        <w:rPr>
          <w:rFonts w:ascii="NanumSquare" w:eastAsia="NanumSquare" w:hAnsi="NanumSquare"/>
          <w:b/>
          <w:color w:val="154A8A"/>
          <w:sz w:val="40"/>
        </w:rPr>
        <w:t>2026년 국비지원 재취업 교육생 모집</w:t>
      </w:r>
    </w:p>
    <w:p>
      <w:pPr>
        <w:jc w:val="center"/>
        <w:spacing w:after="60" w:before="0" w:line="240" w:lineRule="auto"/>
      </w:pPr>
      <w:r>
        <w:rPr>
          <w:rFonts w:ascii="NanumSquare" w:eastAsia="NanumSquare" w:hAnsi="NanumSquare"/>
          <w:b/>
          <w:color w:val="0B6FA4"/>
          <w:sz w:val="24"/>
        </w:rPr>
        <w:t>중장년특화(집중)과정 · 여성재취업과정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2720"/>
        <w:gridCol w:w="2720"/>
        <w:gridCol w:w="2720"/>
        <w:gridCol w:w="2720"/>
      </w:tblGrid>
      <w:tr>
        <w:trPr>
          <w:cantSplit/>
        </w:trPr>
        <w:tc>
          <w:tcPr>
            <w:tcW w:w="2636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F6F8FB"/>
            <w:tcMar>
              <w:top w:w="62" w:type="dxa"/>
              <w:bottom w:w="62" w:type="dxa"/>
            </w:tcMar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666666"/>
                <w:sz w:val="14"/>
              </w:rPr>
              <w:t>교육훈련비</w:t>
            </w:r>
            <w:r>
              <w:rPr>
                <w:rFonts w:ascii="NanumBarunGothic" w:eastAsia="NanumBarunGothic" w:hAnsi="NanumBarunGothic"/>
                <w:b/>
                <w:color w:val="666666"/>
                <w:sz w:val="14"/>
              </w:rPr>
              <w:br/>
            </w:r>
            <w:r>
              <w:rPr>
                <w:rFonts w:ascii="NanumBarunGothic" w:eastAsia="NanumBarunGothic" w:hAnsi="NanumBarunGothic"/>
                <w:b/>
                <w:color w:val="154A8A"/>
                <w:sz w:val="18"/>
              </w:rPr>
              <w:t>전액 국비지원</w:t>
            </w:r>
          </w:p>
        </w:tc>
        <w:tc>
          <w:tcPr>
            <w:tcW w:w="2636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F6F8FB"/>
            <w:tcMar>
              <w:top w:w="62" w:type="dxa"/>
              <w:bottom w:w="62" w:type="dxa"/>
            </w:tcMar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666666"/>
                <w:sz w:val="14"/>
              </w:rPr>
              <w:t>원서비·전형료</w:t>
            </w:r>
            <w:r>
              <w:rPr>
                <w:rFonts w:ascii="NanumBarunGothic" w:eastAsia="NanumBarunGothic" w:hAnsi="NanumBarunGothic"/>
                <w:b/>
                <w:color w:val="666666"/>
                <w:sz w:val="14"/>
              </w:rPr>
              <w:br/>
            </w:r>
            <w:r>
              <w:rPr>
                <w:rFonts w:ascii="NanumBarunGothic" w:eastAsia="NanumBarunGothic" w:hAnsi="NanumBarunGothic"/>
                <w:b/>
                <w:color w:val="154A8A"/>
                <w:sz w:val="18"/>
              </w:rPr>
              <w:t>무료</w:t>
            </w:r>
          </w:p>
        </w:tc>
        <w:tc>
          <w:tcPr>
            <w:tcW w:w="2636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F6F8FB"/>
            <w:tcMar>
              <w:top w:w="62" w:type="dxa"/>
              <w:bottom w:w="62" w:type="dxa"/>
            </w:tcMar>
          </w:tcPr>
          <w:p>
            <w:pPr>
              <w:jc w:val="center"/>
              <w:spacing w:line="240" w:lineRule="auto"/>
            </w:pPr>
            <w:r>
              <w:rPr>
                <w:rFonts w:ascii="NanumBarunGothic" w:eastAsia="NanumBarunGothic" w:hAnsi="NanumBarunGothic"/>
                <w:b/>
                <w:color w:val="666666"/>
                <w:sz w:val="14"/>
              </w:rPr>
              <w:t>훈련장려금</w:t>
            </w:r>
            <w:r>
              <w:rPr>
                <w:rFonts w:ascii="NanumBarunGothic" w:eastAsia="NanumBarunGothic" w:hAnsi="NanumBarunGothic"/>
                <w:b/>
                <w:color w:val="666666"/>
                <w:sz w:val="14"/>
              </w:rPr>
              <w:br/>
            </w: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단위기간 출석률 80% 이상 시</w:t>
            </w:r>
          </w:p>
        </w:tc>
        <w:tc>
          <w:tcPr>
            <w:tcW w:w="2636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F6F8FB"/>
            <w:tcMar>
              <w:top w:w="62" w:type="dxa"/>
              <w:bottom w:w="62" w:type="dxa"/>
            </w:tcMar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666666"/>
                <w:sz w:val="14"/>
              </w:rPr>
              <w:t>세부 지원사항</w:t>
            </w:r>
            <w:r>
              <w:rPr>
                <w:rFonts w:ascii="NanumBarunGothic" w:eastAsia="NanumBarunGothic" w:hAnsi="NanumBarunGothic"/>
                <w:b/>
                <w:color w:val="666666"/>
                <w:sz w:val="14"/>
              </w:rPr>
              <w:br/>
            </w:r>
            <w:r>
              <w:rPr>
                <w:rFonts w:ascii="NanumBarunGothic" w:eastAsia="NanumBarunGothic" w:hAnsi="NanumBarunGothic"/>
                <w:b/>
                <w:color w:val="154A8A"/>
                <w:sz w:val="18"/>
              </w:rPr>
              <w:t>모집요강 확인</w:t>
            </w:r>
          </w:p>
        </w:tc>
      </w:tr>
    </w:tbl>
    <w:p>
      <w:pPr>
        <w:spacing w:after="20" w:before="0" w:line="240" w:lineRule="auto"/>
      </w:pP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0545"/>
      </w:tblGrid>
      <w:tr>
        <w:trPr>
          <w:cantSplit/>
        </w:trPr>
        <w:tc>
          <w:tcPr>
            <w:tcW w:w="10880" w:type="dxa"/>
            <w:shd w:val="clear" w:color="auto" w:fill="154A8A"/>
            <w:tcMar>
              <w:top w:w="65" w:type="dxa"/>
              <w:bottom w:w="60" w:type="dxa"/>
            </w:tcMar>
          </w:tcPr>
          <w:p>
            <w:r>
              <w:rPr>
                <w:rFonts w:ascii="NanumBarunGothic" w:eastAsia="NanumBarunGothic" w:hAnsi="NanumBarunGothic"/>
                <w:b/>
                <w:color w:val="FFFFFF"/>
                <w:sz w:val="24"/>
              </w:rPr>
              <w:t>중장년특화(집중)과정</w:t>
            </w:r>
            <w:r>
              <w:rPr>
                <w:rFonts w:ascii="NanumBarunGothic" w:eastAsia="NanumBarunGothic" w:hAnsi="NanumBarunGothic"/>
                <w:b w:val="0"/>
                <w:color w:val="DCE9F7"/>
                <w:sz w:val="16"/>
              </w:rPr>
              <w:t xml:space="preserve">  만 40세 이상 / 세부 지원자격은 모집요강 확인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928"/>
        <w:gridCol w:w="3798"/>
        <w:gridCol w:w="3061"/>
        <w:gridCol w:w="1757"/>
      </w:tblGrid>
      <w:tr>
        <w:trPr>
          <w:cantSplit/>
        </w:trPr>
        <w:tc>
          <w:tcPr>
            <w:tcW w:w="192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EAF2FB"/>
            <w:tcMar>
              <w:top w:w="65" w:type="dxa"/>
              <w:bottom w:w="6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과정</w:t>
            </w:r>
          </w:p>
        </w:tc>
        <w:tc>
          <w:tcPr>
            <w:tcW w:w="379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EAF2FB"/>
            <w:tcMar>
              <w:top w:w="65" w:type="dxa"/>
              <w:bottom w:w="6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주요 교육내용 / 진출분야</w:t>
            </w:r>
          </w:p>
        </w:tc>
        <w:tc>
          <w:tcPr>
            <w:tcW w:w="3061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EAF2FB"/>
            <w:tcMar>
              <w:top w:w="65" w:type="dxa"/>
              <w:bottom w:w="6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교육기간 · 운영</w:t>
            </w:r>
          </w:p>
        </w:tc>
        <w:tc>
          <w:tcPr>
            <w:tcW w:w="1757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EAF2FB"/>
            <w:tcMar>
              <w:top w:w="65" w:type="dxa"/>
              <w:bottom w:w="6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원서접수</w:t>
            </w:r>
          </w:p>
        </w:tc>
      </w:tr>
      <w:tr>
        <w:trPr>
          <w:cantSplit/>
        </w:trPr>
        <w:tc>
          <w:tcPr>
            <w:tcW w:w="192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집중1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산업안전</w:t>
            </w:r>
          </w:p>
        </w:tc>
        <w:tc>
          <w:tcPr>
            <w:tcW w:w="379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left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산업안전보건법, 건설·화학·전기안전 등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→ 산업안전 관련 분야</w:t>
            </w:r>
          </w:p>
        </w:tc>
        <w:tc>
          <w:tcPr>
            <w:tcW w:w="3061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10.19 ~ 12.10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주간(평일)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240시간 · 정원 20명</w:t>
            </w:r>
          </w:p>
        </w:tc>
        <w:tc>
          <w:tcPr>
            <w:tcW w:w="1757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10.05(월)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23:00</w:t>
            </w:r>
          </w:p>
        </w:tc>
      </w:tr>
      <w:tr>
        <w:trPr>
          <w:cantSplit/>
        </w:trPr>
        <w:tc>
          <w:tcPr>
            <w:tcW w:w="192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집중2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인공지능콘텐츠제작</w:t>
            </w:r>
          </w:p>
        </w:tc>
        <w:tc>
          <w:tcPr>
            <w:tcW w:w="379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left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인공지능 이해·활용, AI 이미지 창작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→ 웹·시각 디자인 분야</w:t>
            </w:r>
          </w:p>
        </w:tc>
        <w:tc>
          <w:tcPr>
            <w:tcW w:w="3061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10.04 ~ 11.22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토·일 주말과정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120시간 · 정원 20명</w:t>
            </w:r>
          </w:p>
        </w:tc>
        <w:tc>
          <w:tcPr>
            <w:tcW w:w="1757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09.20(일)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23:00</w:t>
            </w:r>
          </w:p>
        </w:tc>
      </w:tr>
      <w:tr>
        <w:trPr>
          <w:cantSplit/>
        </w:trPr>
        <w:tc>
          <w:tcPr>
            <w:tcW w:w="192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집중2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설비보전공유압 실무</w:t>
            </w:r>
          </w:p>
        </w:tc>
        <w:tc>
          <w:tcPr>
            <w:tcW w:w="379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left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공압제어·유압제어 실습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→ 제조·생산공장 설비보전·정비, 건물·시설관리</w:t>
            </w:r>
          </w:p>
        </w:tc>
        <w:tc>
          <w:tcPr>
            <w:tcW w:w="3061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10.10 ~ 11.28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토·일 주말과정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120시간 · 정원 20명</w:t>
            </w:r>
          </w:p>
        </w:tc>
        <w:tc>
          <w:tcPr>
            <w:tcW w:w="1757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09.20(일)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23:00</w:t>
            </w:r>
          </w:p>
        </w:tc>
      </w:tr>
    </w:tbl>
    <w:p>
      <w:pPr>
        <w:spacing w:after="10" w:before="0" w:line="240" w:lineRule="auto"/>
        <w:rPr>
          <w:lang/>
          <w:rFonts w:ascii="NanumBarunGothic" w:eastAsia="NanumBarunGothic" w:hAnsi="NanumBarunGothic"/>
          <w:b w:val="0"/>
          <w:color w:val="666666"/>
          <w:sz w:val="14"/>
          <w:rtl w:val="off"/>
        </w:rPr>
      </w:pPr>
      <w:r>
        <w:rPr>
          <w:rFonts w:ascii="NanumBarunGothic" w:eastAsia="NanumBarunGothic" w:hAnsi="NanumBarunGothic"/>
          <w:b w:val="0"/>
          <w:color w:val="666666"/>
          <w:sz w:val="14"/>
        </w:rPr>
        <w:t>※ 중장년특화(집중)과정은 면접 없이 서류전형 100%로 선발하며, 1차 모집 후 결원 발생 시 추가모집이 진행될 수 있습니다.</w:t>
      </w:r>
      <w:r>
        <w:rPr>
          <w:rFonts w:ascii="NanumBarunGothic" w:eastAsia="NanumBarunGothic" w:hAnsi="NanumBarunGothic"/>
          <w:b w:val="0"/>
          <w:color w:val="666666"/>
          <w:sz w:val="14"/>
        </w:rPr>
        <w:br/>
      </w:r>
      <w:r>
        <w:rPr>
          <w:rFonts w:ascii="NanumBarunGothic" w:eastAsia="NanumBarunGothic" w:hAnsi="NanumBarunGothic"/>
          <w:b w:val="0"/>
          <w:color w:val="666666"/>
          <w:sz w:val="14"/>
        </w:rPr>
        <w:t>※ 원서접수는 정원의 3배 이상 접수 시 조기 마감될 수 있으며, 집중2(토·일) 과정은 중식이 제공되지 않습니다.</w:t>
      </w:r>
    </w:p>
    <w:p>
      <w:pPr>
        <w:spacing w:after="10" w:before="0" w:line="240" w:lineRule="auto"/>
      </w:pP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0545"/>
      </w:tblGrid>
      <w:tr>
        <w:trPr>
          <w:cantSplit/>
        </w:trPr>
        <w:tc>
          <w:tcPr>
            <w:tcW w:w="10880" w:type="dxa"/>
            <w:shd w:val="clear" w:color="auto" w:fill="154A8A"/>
            <w:tcMar>
              <w:top w:w="65" w:type="dxa"/>
              <w:bottom w:w="60" w:type="dxa"/>
            </w:tcMar>
          </w:tcPr>
          <w:p>
            <w:r>
              <w:rPr>
                <w:rFonts w:ascii="NanumBarunGothic" w:eastAsia="NanumBarunGothic" w:hAnsi="NanumBarunGothic"/>
                <w:b/>
                <w:color w:val="FFFFFF"/>
                <w:sz w:val="24"/>
              </w:rPr>
              <w:t>여성재취업과정</w:t>
            </w:r>
            <w:r>
              <w:rPr>
                <w:rFonts w:ascii="NanumBarunGothic" w:eastAsia="NanumBarunGothic" w:hAnsi="NanumBarunGothic"/>
                <w:b w:val="0"/>
                <w:color w:val="DCE9F7"/>
                <w:sz w:val="16"/>
              </w:rPr>
              <w:t xml:space="preserve">  만 15세 이상 여성 / 세부 지원자격은 모집요강 확인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928"/>
        <w:gridCol w:w="3798"/>
        <w:gridCol w:w="3061"/>
        <w:gridCol w:w="1757"/>
      </w:tblGrid>
      <w:tr>
        <w:trPr>
          <w:cantSplit/>
        </w:trPr>
        <w:tc>
          <w:tcPr>
            <w:tcW w:w="192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EAF2FB"/>
            <w:tcMar>
              <w:top w:w="65" w:type="dxa"/>
              <w:bottom w:w="6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과정</w:t>
            </w:r>
          </w:p>
        </w:tc>
        <w:tc>
          <w:tcPr>
            <w:tcW w:w="379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EAF2FB"/>
            <w:tcMar>
              <w:top w:w="65" w:type="dxa"/>
              <w:bottom w:w="6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주요 교육내용 / 진출분야</w:t>
            </w:r>
          </w:p>
        </w:tc>
        <w:tc>
          <w:tcPr>
            <w:tcW w:w="3061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EAF2FB"/>
            <w:tcMar>
              <w:top w:w="65" w:type="dxa"/>
              <w:bottom w:w="6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교육기간 · 운영</w:t>
            </w:r>
          </w:p>
        </w:tc>
        <w:tc>
          <w:tcPr>
            <w:tcW w:w="1757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EAF2FB"/>
            <w:tcMar>
              <w:top w:w="65" w:type="dxa"/>
              <w:bottom w:w="6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원서접수</w:t>
            </w:r>
          </w:p>
        </w:tc>
      </w:tr>
      <w:tr>
        <w:trPr>
          <w:cantSplit/>
        </w:trPr>
        <w:tc>
          <w:tcPr>
            <w:tcW w:w="192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AI 콘텐츠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크리에이터 실무</w:t>
            </w:r>
          </w:p>
        </w:tc>
        <w:tc>
          <w:tcPr>
            <w:tcW w:w="379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left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AI 글쓰기, 이미지·영상 콘텐츠 제작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→ 홍보·SNS·콘텐츠 마케팅</w:t>
            </w:r>
          </w:p>
        </w:tc>
        <w:tc>
          <w:tcPr>
            <w:tcW w:w="3061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10.19 ~ 12.11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평일 09:20~15:50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240시간</w:t>
            </w:r>
          </w:p>
        </w:tc>
        <w:tc>
          <w:tcPr>
            <w:tcW w:w="1757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1차 09.30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2차 10.18*</w:t>
            </w:r>
          </w:p>
        </w:tc>
      </w:tr>
      <w:tr>
        <w:trPr>
          <w:cantSplit/>
        </w:trPr>
        <w:tc>
          <w:tcPr>
            <w:tcW w:w="192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CS커뮤니케이션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전문강사 양성</w:t>
            </w:r>
          </w:p>
        </w:tc>
        <w:tc>
          <w:tcPr>
            <w:tcW w:w="379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left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CS 응대, 프레젠테이션·강의 기획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→ CS·스피치·이미지메이킹 강사</w:t>
            </w:r>
          </w:p>
        </w:tc>
        <w:tc>
          <w:tcPr>
            <w:tcW w:w="3061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10.19 ~ 12.11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평일 09:20~15:50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240시간</w:t>
            </w:r>
          </w:p>
        </w:tc>
        <w:tc>
          <w:tcPr>
            <w:tcW w:w="1757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1차 09.30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2차 10.18*</w:t>
            </w:r>
          </w:p>
        </w:tc>
      </w:tr>
      <w:tr>
        <w:trPr>
          <w:cantSplit/>
        </w:trPr>
        <w:tc>
          <w:tcPr>
            <w:tcW w:w="192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6"/>
              </w:rPr>
              <w:t>커리어컨설턴트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양성</w:t>
            </w:r>
          </w:p>
        </w:tc>
        <w:tc>
          <w:tcPr>
            <w:tcW w:w="3798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left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직업상담사 자격 보유 여성 대상 취업지원 실무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→ 직업상담·교육·진로 분야</w:t>
            </w:r>
          </w:p>
        </w:tc>
        <w:tc>
          <w:tcPr>
            <w:tcW w:w="3061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10.19 ~ 12.11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평일 09:20~15:50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240시간</w:t>
            </w:r>
          </w:p>
        </w:tc>
        <w:tc>
          <w:tcPr>
            <w:tcW w:w="1757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2" w:type="dxa"/>
              <w:bottom w:w="72" w:type="dxa"/>
            </w:tcMar>
            <w:vAlign w:val="center"/>
          </w:tcPr>
          <w:p>
            <w:pPr>
              <w:jc w:val="center"/>
              <w:spacing w:after="0" w:before="0" w:line="250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1차 09.30</w:t>
            </w:r>
            <w: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6"/>
              </w:rPr>
              <w:t>2차 10.18*</w:t>
            </w:r>
          </w:p>
        </w:tc>
      </w:tr>
    </w:tbl>
    <w:p>
      <w:pPr>
        <w:spacing w:after="40" w:before="20" w:line="240" w:lineRule="auto"/>
        <w:rPr>
          <w:lang/>
          <w:rFonts w:ascii="NanumBarunGothic" w:eastAsia="NanumBarunGothic" w:hAnsi="NanumBarunGothic"/>
          <w:b w:val="0"/>
          <w:color w:val="666666"/>
          <w:sz w:val="15"/>
          <w:rtl w:val="off"/>
        </w:rPr>
      </w:pPr>
      <w:r>
        <w:rPr>
          <w:rFonts w:ascii="NanumBarunGothic" w:eastAsia="NanumBarunGothic" w:hAnsi="NanumBarunGothic"/>
          <w:b w:val="0"/>
          <w:color w:val="666666"/>
          <w:sz w:val="15"/>
        </w:rPr>
        <w:t>* 2차 모집은 1차 모집인원이 적을 경우 진행될 수 있습니다. 전형: 서류전형 → 유선(전화)면접 → 최종합격</w:t>
      </w:r>
    </w:p>
    <w:p>
      <w:pPr>
        <w:spacing w:after="40" w:before="20" w:line="240" w:lineRule="auto"/>
      </w:pP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5272"/>
        <w:gridCol w:w="5272"/>
      </w:tblGrid>
      <w:tr>
        <w:trPr>
          <w:cantSplit/>
        </w:trPr>
        <w:tc>
          <w:tcPr>
            <w:tcW w:w="5440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F6F8FB"/>
            <w:tcMar>
              <w:top w:w="75" w:type="dxa"/>
              <w:bottom w:w="75" w:type="dxa"/>
            </w:tcMar>
            <w:vAlign w:val="center"/>
          </w:tcPr>
          <w:p>
            <w:pPr>
              <w:spacing w:after="2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8"/>
              </w:rPr>
              <w:t>지원 전 확인</w:t>
            </w:r>
          </w:p>
          <w:p>
            <w:pPr>
              <w:spacing w:after="0" w:before="0" w:line="259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5"/>
              </w:rPr>
              <w:t>• 지원자격은 과정·모집차수 등에 따라 다를 수 있으므로 반드시 최신 모집요강 확인</w:t>
            </w:r>
            <w:r>
              <w:rPr>
                <w:rFonts w:ascii="NanumBarunGothic" w:eastAsia="NanumBarunGothic" w:hAnsi="NanumBarunGothic"/>
                <w:b w:val="0"/>
                <w:color w:val="222222"/>
                <w:sz w:val="15"/>
              </w:rP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5"/>
              </w:rPr>
              <w:t>• 선발제외 대상, 제출서류 및 증빙요건 등 세부사항은 모집요강 기준</w:t>
            </w:r>
          </w:p>
        </w:tc>
        <w:tc>
          <w:tcPr>
            <w:tcW w:w="5440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F6F8FB"/>
            <w:tcMar>
              <w:top w:w="75" w:type="dxa"/>
              <w:bottom w:w="75" w:type="dxa"/>
            </w:tcMar>
            <w:vAlign w:val="center"/>
          </w:tcPr>
          <w:p>
            <w:pPr>
              <w:spacing w:after="2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8"/>
              </w:rPr>
              <w:t>접수방법</w:t>
            </w:r>
          </w:p>
          <w:p>
            <w:pPr>
              <w:spacing w:after="0" w:before="0" w:line="259" w:lineRule="auto"/>
            </w:pPr>
            <w:r>
              <w:rPr>
                <w:rFonts w:ascii="NanumBarunGothic" w:eastAsia="NanumBarunGothic" w:hAnsi="NanumBarunGothic"/>
                <w:b w:val="0"/>
                <w:color w:val="222222"/>
                <w:sz w:val="15"/>
              </w:rPr>
              <w:t>서울정수캠퍼스 홈페이지 「여성재취업·중장년특화과정(집중) 원서접수」 메뉴에서 희망 과정 선택 후 온라인 제출</w:t>
            </w:r>
            <w:r>
              <w:rPr>
                <w:rFonts w:ascii="NanumBarunGothic" w:eastAsia="NanumBarunGothic" w:hAnsi="NanumBarunGothic"/>
                <w:b w:val="0"/>
                <w:color w:val="222222"/>
                <w:sz w:val="15"/>
              </w:rPr>
              <w:br/>
            </w:r>
            <w:r>
              <w:rPr>
                <w:rFonts w:ascii="NanumBarunGothic" w:eastAsia="NanumBarunGothic" w:hAnsi="NanumBarunGothic"/>
                <w:b w:val="0"/>
                <w:color w:val="222222"/>
                <w:sz w:val="15"/>
              </w:rPr>
              <w:t>※ 과정별 접수·전형 일정은 최신 모집요강 확인</w:t>
            </w:r>
          </w:p>
        </w:tc>
      </w:tr>
    </w:tbl>
    <w:p>
      <w:pPr>
        <w:spacing w:after="20" w:before="40" w:line="240" w:lineRule="auto"/>
        <w:rPr>
          <w:lang/>
          <w:rFonts w:ascii="NanumBarunGothic" w:eastAsia="NanumBarunGothic" w:hAnsi="NanumBarunGothic"/>
          <w:b/>
          <w:color w:val="154A8A"/>
          <w:sz w:val="20"/>
          <w:rtl w:val="off"/>
        </w:rPr>
      </w:pPr>
    </w:p>
    <w:p>
      <w:pPr>
        <w:spacing w:after="20" w:before="40" w:line="240" w:lineRule="auto"/>
      </w:pPr>
      <w:r>
        <w:rPr>
          <w:rFonts w:ascii="NanumBarunGothic" w:eastAsia="NanumBarunGothic" w:hAnsi="NanumBarunGothic"/>
          <w:b/>
          <w:color w:val="154A8A"/>
          <w:sz w:val="20"/>
        </w:rPr>
        <w:t>모집요강 확인 및 원서접수 안내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984"/>
        <w:gridCol w:w="8561"/>
      </w:tblGrid>
      <w:tr>
        <w:trPr>
          <w:cantSplit/>
        </w:trPr>
        <w:tc>
          <w:tcPr>
            <w:tcW w:w="5440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jc w:val="center"/>
              <w:spacing w:after="0" w:before="0" w:line="240" w:lineRule="auto"/>
            </w:pPr>
            <w:r>
              <w:drawing>
                <wp:inline distT="0" distB="0" distL="180" distR="180">
                  <wp:extent cx="1152000" cy="1152000"/>
                  <wp:effectExtent l="0" t="0" r="0" b="0"/>
                  <wp:docPr id="1025" name="shape1025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15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0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spacing w:after="20" w:before="0" w:line="252" w:lineRule="auto"/>
            </w:pPr>
            <w:r>
              <w:rPr>
                <w:rFonts w:ascii="NanumBarunGothic" w:eastAsia="NanumBarunGothic" w:hAnsi="NanumBarunGothic"/>
                <w:b/>
                <w:color w:val="222222"/>
                <w:sz w:val="16"/>
              </w:rPr>
              <w:t>과정별 세부 지원자격, 제출서류, 선발제외 대상, 전형일정 등은 홈페이지 모집요강을 반드시 확인해 주세요.</w:t>
            </w:r>
          </w:p>
          <w:p>
            <w:pPr>
              <w:spacing w:after="10" w:before="0" w:line="240" w:lineRule="auto"/>
            </w:pPr>
            <w:r>
              <w:fldChar w:fldCharType="begin"/>
            </w:r>
            <w:r>
              <w:instrText xml:space="preserve"> HYPERLINK "https://www.kopo.ac.kr/jungsu/content.do?menu=8437" </w:instrText>
            </w:r>
            <w:r>
              <w:fldChar w:fldCharType="separate"/>
            </w:r>
            <w:r>
              <w:rPr>
                <w:rFonts w:ascii="NanumBarunGothic" w:eastAsia="NanumBarunGothic" w:hAnsi="NanumBarunGothic"/>
                <w:color w:val="2166B1"/>
                <w:sz w:val="16"/>
                <w:szCs w:val="16"/>
                <w:u w:val="single" w:color="auto"/>
              </w:rPr>
              <w:t>서울정수캠퍼스 여성재취업·중장년특화과정(집중) 모집요강</w:t>
            </w:r>
            <w:r>
              <w:rPr>
                <w:rFonts w:ascii="NanumBarunGothic" w:eastAsia="NanumBarunGothic" w:hAnsi="NanumBarunGothic"/>
                <w:color w:val="2166B1"/>
                <w:sz w:val="16"/>
                <w:szCs w:val="16"/>
                <w:u w:val="single" w:color="auto"/>
              </w:rPr>
              <w:fldChar w:fldCharType="end"/>
            </w:r>
          </w:p>
          <w:p>
            <w:pPr>
              <w:spacing w:after="0" w:before="0" w:line="240" w:lineRule="auto"/>
            </w:pPr>
            <w:r>
              <w:rPr>
                <w:rFonts w:ascii="NanumBarunGothic" w:eastAsia="NanumBarunGothic" w:hAnsi="NanumBarunGothic"/>
                <w:b w:val="0"/>
                <w:color w:val="666666"/>
                <w:sz w:val="14"/>
              </w:rPr>
              <w:t>https://www.kopo.ac.kr/jungsu/content.do?menu=8437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0545"/>
      </w:tblGrid>
      <w:tr>
        <w:tc>
          <w:tcPr>
            <w:tcW w:w="10545" w:type="dxa"/>
            <w:tcBorders>
              <w:top w:val="single" w:sz="6" w:space="0" w:color="C8D5E5"/>
              <w:left w:val="single" w:sz="6" w:space="0" w:color="C8D5E5"/>
              <w:bottom w:val="single" w:sz="6" w:space="0" w:color="C8D5E5"/>
              <w:right w:val="single" w:sz="6" w:space="0" w:color="C8D5E5"/>
            </w:tcBorders>
            <w:shd w:val="clear" w:color="auto" w:fill="F6F8FB"/>
            <w:tcMar>
              <w:top w:w="60" w:type="dxa"/>
              <w:bottom w:w="60" w:type="dxa"/>
            </w:tcMar>
            <w:vAlign w:val="center"/>
          </w:tcPr>
          <w:p>
            <w:pPr>
              <w:spacing w:after="20" w:line="240" w:lineRule="auto"/>
            </w:pPr>
            <w:r>
              <w:rPr>
                <w:rFonts w:ascii="NanumBarunGothic" w:eastAsia="NanumBarunGothic" w:hAnsi="NanumBarunGothic"/>
                <w:b/>
                <w:color w:val="154A8A"/>
                <w:sz w:val="17"/>
              </w:rPr>
              <w:t>유의사항</w:t>
            </w:r>
          </w:p>
          <w:p>
            <w:pPr>
              <w:spacing w:after="0" w:before="0" w:line="245" w:lineRule="auto"/>
            </w:pPr>
            <w:r>
              <w:rPr>
                <w:rFonts w:ascii="NanumBarunGothic" w:eastAsia="NanumBarunGothic" w:hAnsi="NanumBarunGothic"/>
                <w:b w:val="0"/>
                <w:color w:val="666666"/>
                <w:sz w:val="13"/>
              </w:rPr>
              <w:t>※ 본 안내문은 홍보용 요약자료이며, 실제 지원·선발 및 교육운영은 홈페이지에 게시된 최신 모집요강과 대학 안내를 기준으로 합니다.</w:t>
            </w:r>
            <w:r>
              <w:rPr>
                <w:rFonts w:ascii="NanumBarunGothic" w:eastAsia="NanumBarunGothic" w:hAnsi="NanumBarunGothic"/>
                <w:b w:val="0"/>
                <w:color w:val="666666"/>
                <w:sz w:val="13"/>
              </w:rPr>
              <w:br/>
            </w:r>
            <w:r>
              <w:rPr>
                <w:rFonts w:ascii="NanumBarunGothic" w:eastAsia="NanumBarunGothic" w:hAnsi="NanumBarunGothic"/>
                <w:b w:val="0"/>
                <w:color w:val="666666"/>
                <w:sz w:val="13"/>
              </w:rPr>
              <w:t>※ 모집과정(직종), 모집차수, 모집인원, 교육일정, 세부 교육내용, 운영방식 및 전형방법 등은 대학 사정에 따라 변경될 수 있습니다.</w:t>
            </w:r>
            <w:r>
              <w:rPr>
                <w:rFonts w:ascii="NanumBarunGothic" w:eastAsia="NanumBarunGothic" w:hAnsi="NanumBarunGothic"/>
                <w:b w:val="0"/>
                <w:color w:val="666666"/>
                <w:sz w:val="13"/>
              </w:rPr>
              <w:br/>
            </w:r>
            <w:r>
              <w:rPr>
                <w:rFonts w:ascii="NanumBarunGothic" w:eastAsia="NanumBarunGothic" w:hAnsi="NanumBarunGothic"/>
                <w:b w:val="0"/>
                <w:color w:val="666666"/>
                <w:sz w:val="13"/>
              </w:rPr>
              <w:t>※ 교육훈련운영계획은 대학 사정에 따라 폐강 또는 통폐합될 수 있으며, 과정 구성 및 세부 운영내용이 변경될 수 있습니다.</w:t>
            </w:r>
            <w:r>
              <w:rPr>
                <w:rFonts w:ascii="NanumBarunGothic" w:eastAsia="NanumBarunGothic" w:hAnsi="NanumBarunGothic"/>
                <w:b w:val="0"/>
                <w:color w:val="666666"/>
                <w:sz w:val="13"/>
              </w:rPr>
              <w:br/>
            </w:r>
            <w:r>
              <w:rPr>
                <w:rFonts w:ascii="NanumBarunGothic" w:eastAsia="NanumBarunGothic" w:hAnsi="NanumBarunGothic"/>
                <w:b w:val="0"/>
                <w:color w:val="666666"/>
                <w:sz w:val="13"/>
              </w:rPr>
              <w:t>※ 훈련장려금 등 지원사항은 지급요건 충족 시 적용되며, 관련 법령·운영기준 등에 따라 변경될 수 있습니다.</w:t>
            </w:r>
          </w:p>
        </w:tc>
      </w:tr>
    </w:tbl>
    <w:p>
      <w:pPr>
        <w:jc w:val="center"/>
        <w:spacing w:after="0" w:before="30" w:line="240" w:lineRule="auto"/>
      </w:pPr>
      <w:r>
        <w:rPr>
          <w:rFonts w:ascii="NanumBarunGothic" w:eastAsia="NanumBarunGothic" w:hAnsi="NanumBarunGothic"/>
          <w:b/>
          <w:color w:val="222222"/>
          <w:sz w:val="17"/>
        </w:rPr>
        <w:t>한국폴리텍대학 서울정수캠퍼스  교무기획처</w:t>
      </w:r>
    </w:p>
    <w:sectPr>
      <w:pgSz w:w="12240" w:h="15840"/>
      <w:pgMar w:top="482" w:right="680" w:bottom="482" w:left="680" w:header="227" w:footer="227" w:gutter="0"/>
      <w:cols w:space="720"/>
      <w:docGrid w:linePitch="360"/>
      <w:headerReference w:type="default" r:id="rId2"/>
      <w:footerReference w:type="default" r:id="rI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NanumSquare">
    <w:notTrueType w:val="false"/>
  </w:font>
  <w:font w:name="NanumBarunGothic">
    <w:notTrueType w:val="false"/>
  </w:font>
  <w:font w:name="Courier">
    <w:panose1 w:val="02000500FFFFFFFFFFFF"/>
    <w:family w:val="auto"/>
    <w:charset w:val="00"/>
    <w:notTrueType w:val="false"/>
    <w:pitch w:val="variable"/>
    <w:sig w:usb0="00000003" w:usb1="00000000" w:usb2="00000000" w:usb3="00000000" w:csb0="00000001" w:csb1="00000000"/>
  </w:font>
  <w:font w:name="Symbol">
    <w:panose1 w:val="05050102010706020507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Footer"/>
      <w:jc w:val="center"/>
      <w:spacing w:after="0" w:before="0" w:line="240" w:lineRule="auto"/>
    </w:pPr>
    <w:r>
      <w:rPr>
        <w:rFonts w:ascii="NanumBarunGothic" w:eastAsia="NanumBarunGothic" w:hAnsi="NanumBarunGothic"/>
        <w:b w:val="0"/>
        <w:color w:val="666666"/>
        <w:sz w:val="13"/>
      </w:rPr>
      <w:t xml:space="preserve">문의  중장년특화(집중) 행정 02-2001-4860 </w:t>
    </w:r>
    <w:r>
      <w:rPr>
        <w:rFonts w:ascii="NanumBarunGothic" w:eastAsia="NanumBarunGothic" w:hAnsi="NanumBarunGothic"/>
        <w:b w:val="0"/>
        <w:color w:val="666666"/>
        <w:sz w:val="13"/>
      </w:rPr>
      <w:t xml:space="preserve"> |  여성재취업 02-2001-4861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Header"/>
      <w:jc w:val="right"/>
      <w:spacing w:after="0" w:before="0" w:line="240" w:lineRule="auto"/>
    </w:pPr>
    <w:r>
      <w:rPr>
        <w:rFonts w:ascii="NanumBarunGothic" w:eastAsia="NanumBarunGothic" w:hAnsi="NanumBarunGothic"/>
        <w:b/>
        <w:color w:val="666666"/>
        <w:sz w:val="14"/>
      </w:rPr>
      <w:t>한국폴리텍대학 서울정수캠퍼스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ListBullet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ListBullet2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ListBullet3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ListNumber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ListNumber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ListNumber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val="bestFit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iPriority="99" w:unhideWhenUsed="0"/>
    <w:lsdException w:name="Medium Shading 2" w:semiHidden="0" w:uiPriority="100" w:unhideWhenUsed="0"/>
    <w:lsdException w:name="Medium List 1" w:semiHidden="0" w:uiPriority="101" w:unhideWhenUsed="0"/>
    <w:lsdException w:name="Medium List 2" w:semiHidden="0" w:uiPriority="102" w:unhideWhenUsed="0"/>
    <w:lsdException w:name="Medium Grid 1" w:semiHidden="0" w:uiPriority="103" w:unhideWhenUsed="0"/>
    <w:lsdException w:name="Medium Grid 2" w:semiHidden="0" w:uiPriority="104" w:unhideWhenUsed="0"/>
    <w:lsdException w:name="Medium Grid 3" w:semiHidden="0" w:uiPriority="105" w:unhideWhenUsed="0"/>
    <w:lsdException w:name="Dark List" w:semiHidden="0" w:uiPriority="112" w:unhideWhenUsed="0"/>
    <w:lsdException w:name="Colorful Shading" w:semiHidden="0" w:uiPriority="113" w:unhideWhenUsed="0"/>
    <w:lsdException w:name="Colorful List" w:semiHidden="0" w:uiPriority="114" w:unhideWhenUsed="0"/>
    <w:lsdException w:name="Colorful Grid" w:semiHidden="0" w:uiPriority="115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iPriority="99" w:unhideWhenUsed="0"/>
    <w:lsdException w:name="Medium Shading 2 Accent 1" w:semiHidden="0" w:uiPriority="100" w:unhideWhenUsed="0"/>
    <w:lsdException w:name="Medium List 1 Accent 1" w:semiHidden="0" w:uiPriority="101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102" w:unhideWhenUsed="0"/>
    <w:lsdException w:name="Medium Grid 1 Accent 1" w:semiHidden="0" w:uiPriority="103" w:unhideWhenUsed="0"/>
    <w:lsdException w:name="Medium Grid 2 Accent 1" w:semiHidden="0" w:uiPriority="104" w:unhideWhenUsed="0"/>
    <w:lsdException w:name="Medium Grid 3 Accent 1" w:semiHidden="0" w:uiPriority="105" w:unhideWhenUsed="0"/>
    <w:lsdException w:name="Dark List Accent 1" w:semiHidden="0" w:uiPriority="112" w:unhideWhenUsed="0"/>
    <w:lsdException w:name="Colorful Shading Accent 1" w:semiHidden="0" w:uiPriority="113" w:unhideWhenUsed="0"/>
    <w:lsdException w:name="Colorful List Accent 1" w:semiHidden="0" w:uiPriority="114" w:unhideWhenUsed="0"/>
    <w:lsdException w:name="Colorful Grid Accent 1" w:semiHidden="0" w:uiPriority="115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iPriority="99" w:unhideWhenUsed="0"/>
    <w:lsdException w:name="Medium Shading 2 Accent 2" w:semiHidden="0" w:uiPriority="100" w:unhideWhenUsed="0"/>
    <w:lsdException w:name="Medium List 1 Accent 2" w:semiHidden="0" w:uiPriority="101" w:unhideWhenUsed="0"/>
    <w:lsdException w:name="Medium List 2 Accent 2" w:semiHidden="0" w:uiPriority="102" w:unhideWhenUsed="0"/>
    <w:lsdException w:name="Medium Grid 1 Accent 2" w:semiHidden="0" w:uiPriority="103" w:unhideWhenUsed="0"/>
    <w:lsdException w:name="Medium Grid 2 Accent 2" w:semiHidden="0" w:uiPriority="104" w:unhideWhenUsed="0"/>
    <w:lsdException w:name="Medium Grid 3 Accent 2" w:semiHidden="0" w:uiPriority="105" w:unhideWhenUsed="0"/>
    <w:lsdException w:name="Dark List Accent 2" w:semiHidden="0" w:uiPriority="112" w:unhideWhenUsed="0"/>
    <w:lsdException w:name="Colorful Shading Accent 2" w:semiHidden="0" w:uiPriority="113" w:unhideWhenUsed="0"/>
    <w:lsdException w:name="Colorful List Accent 2" w:semiHidden="0" w:uiPriority="114" w:unhideWhenUsed="0"/>
    <w:lsdException w:name="Colorful Grid Accent 2" w:semiHidden="0" w:uiPriority="115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iPriority="99" w:unhideWhenUsed="0"/>
    <w:lsdException w:name="Medium Shading 2 Accent 3" w:semiHidden="0" w:uiPriority="100" w:unhideWhenUsed="0"/>
    <w:lsdException w:name="Medium List 1 Accent 3" w:semiHidden="0" w:uiPriority="101" w:unhideWhenUsed="0"/>
    <w:lsdException w:name="Medium List 2 Accent 3" w:semiHidden="0" w:uiPriority="102" w:unhideWhenUsed="0"/>
    <w:lsdException w:name="Medium Grid 1 Accent 3" w:semiHidden="0" w:uiPriority="103" w:unhideWhenUsed="0"/>
    <w:lsdException w:name="Medium Grid 2 Accent 3" w:semiHidden="0" w:uiPriority="104" w:unhideWhenUsed="0"/>
    <w:lsdException w:name="Medium Grid 3 Accent 3" w:semiHidden="0" w:uiPriority="105" w:unhideWhenUsed="0"/>
    <w:lsdException w:name="Dark List Accent 3" w:semiHidden="0" w:uiPriority="112" w:unhideWhenUsed="0"/>
    <w:lsdException w:name="Colorful Shading Accent 3" w:semiHidden="0" w:uiPriority="113" w:unhideWhenUsed="0"/>
    <w:lsdException w:name="Colorful List Accent 3" w:semiHidden="0" w:uiPriority="114" w:unhideWhenUsed="0"/>
    <w:lsdException w:name="Colorful Grid Accent 3" w:semiHidden="0" w:uiPriority="115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iPriority="99" w:unhideWhenUsed="0"/>
    <w:lsdException w:name="Medium Shading 2 Accent 4" w:semiHidden="0" w:uiPriority="100" w:unhideWhenUsed="0"/>
    <w:lsdException w:name="Medium List 1 Accent 4" w:semiHidden="0" w:uiPriority="101" w:unhideWhenUsed="0"/>
    <w:lsdException w:name="Medium List 2 Accent 4" w:semiHidden="0" w:uiPriority="102" w:unhideWhenUsed="0"/>
    <w:lsdException w:name="Medium Grid 1 Accent 4" w:semiHidden="0" w:uiPriority="103" w:unhideWhenUsed="0"/>
    <w:lsdException w:name="Medium Grid 2 Accent 4" w:semiHidden="0" w:uiPriority="104" w:unhideWhenUsed="0"/>
    <w:lsdException w:name="Medium Grid 3 Accent 4" w:semiHidden="0" w:uiPriority="105" w:unhideWhenUsed="0"/>
    <w:lsdException w:name="Dark List Accent 4" w:semiHidden="0" w:uiPriority="112" w:unhideWhenUsed="0"/>
    <w:lsdException w:name="Colorful Shading Accent 4" w:semiHidden="0" w:uiPriority="113" w:unhideWhenUsed="0"/>
    <w:lsdException w:name="Colorful List Accent 4" w:semiHidden="0" w:uiPriority="114" w:unhideWhenUsed="0"/>
    <w:lsdException w:name="Colorful Grid Accent 4" w:semiHidden="0" w:uiPriority="115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iPriority="99" w:unhideWhenUsed="0"/>
    <w:lsdException w:name="Medium Shading 2 Accent 5" w:semiHidden="0" w:uiPriority="100" w:unhideWhenUsed="0"/>
    <w:lsdException w:name="Medium List 1 Accent 5" w:semiHidden="0" w:uiPriority="101" w:unhideWhenUsed="0"/>
    <w:lsdException w:name="Medium List 2 Accent 5" w:semiHidden="0" w:uiPriority="102" w:unhideWhenUsed="0"/>
    <w:lsdException w:name="Medium Grid 1 Accent 5" w:semiHidden="0" w:uiPriority="103" w:unhideWhenUsed="0"/>
    <w:lsdException w:name="Medium Grid 2 Accent 5" w:semiHidden="0" w:uiPriority="104" w:unhideWhenUsed="0"/>
    <w:lsdException w:name="Medium Grid 3 Accent 5" w:semiHidden="0" w:uiPriority="105" w:unhideWhenUsed="0"/>
    <w:lsdException w:name="Dark List Accent 5" w:semiHidden="0" w:uiPriority="112" w:unhideWhenUsed="0"/>
    <w:lsdException w:name="Colorful Shading Accent 5" w:semiHidden="0" w:uiPriority="113" w:unhideWhenUsed="0"/>
    <w:lsdException w:name="Colorful List Accent 5" w:semiHidden="0" w:uiPriority="114" w:unhideWhenUsed="0"/>
    <w:lsdException w:name="Colorful Grid Accent 5" w:semiHidden="0" w:uiPriority="115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iPriority="99" w:unhideWhenUsed="0"/>
    <w:lsdException w:name="Medium Shading 2 Accent 6" w:semiHidden="0" w:uiPriority="100" w:unhideWhenUsed="0"/>
    <w:lsdException w:name="Medium List 1 Accent 6" w:semiHidden="0" w:uiPriority="101" w:unhideWhenUsed="0"/>
    <w:lsdException w:name="Medium List 2 Accent 6" w:semiHidden="0" w:uiPriority="102" w:unhideWhenUsed="0"/>
    <w:lsdException w:name="Medium Grid 1 Accent 6" w:semiHidden="0" w:uiPriority="103" w:unhideWhenUsed="0"/>
    <w:lsdException w:name="Medium Grid 2 Accent 6" w:semiHidden="0" w:uiPriority="104" w:unhideWhenUsed="0"/>
    <w:lsdException w:name="Medium Grid 3 Accent 6" w:semiHidden="0" w:uiPriority="105" w:unhideWhenUsed="0"/>
    <w:lsdException w:name="Dark List Accent 6" w:semiHidden="0" w:uiPriority="112" w:unhideWhenUsed="0"/>
    <w:lsdException w:name="Colorful Shading Accent 6" w:semiHidden="0" w:uiPriority="113" w:unhideWhenUsed="0"/>
    <w:lsdException w:name="Colorful List Accent 6" w:semiHidden="0" w:uiPriority="114" w:unhideWhenUsed="0"/>
    <w:lsdException w:name="Colorful Grid Accent 6" w:semiHidden="0" w:uiPriority="115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Normal">
    <w:name w:val="Normal"/>
    <w:qFormat/>
    <w:rPr>
      <w:rFonts w:ascii="NanumBarunGothic" w:eastAsia="NanumBarunGothic" w:hAnsi="NanumBarunGothic"/>
      <w:sz w:val="17"/>
    </w:rPr>
  </w:style>
  <w:style w:type="paragraph" w:customStyle="1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customStyle="1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Heading4">
    <w:name w:val="heading 4"/>
    <w:uiPriority w:val="9"/>
    <w:basedOn w:val="Normal"/>
    <w:next w:val="Normal"/>
    <w:link w:val="Heading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Heading5">
    <w:name w:val="heading 5"/>
    <w:uiPriority w:val="9"/>
    <w:basedOn w:val="Normal"/>
    <w:next w:val="Normal"/>
    <w:link w:val="Heading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Heading6">
    <w:name w:val="heading 6"/>
    <w:uiPriority w:val="9"/>
    <w:basedOn w:val="Normal"/>
    <w:next w:val="Normal"/>
    <w:link w:val="Heading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Heading7">
    <w:name w:val="heading 7"/>
    <w:uiPriority w:val="9"/>
    <w:basedOn w:val="Normal"/>
    <w:next w:val="Normal"/>
    <w:link w:val="Heading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Heading8">
    <w:name w:val="heading 8"/>
    <w:uiPriority w:val="9"/>
    <w:basedOn w:val="Normal"/>
    <w:next w:val="Normal"/>
    <w:link w:val="Heading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Heading9">
    <w:name w:val="heading 9"/>
    <w:uiPriority w:val="9"/>
    <w:basedOn w:val="Normal"/>
    <w:next w:val="Normal"/>
    <w:link w:val="Heading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EastAsia" w:hAnsiTheme="majorHAnsi" w:cstheme="majorBidi"/>
      <w:b/>
      <w:bCs/>
      <w:color w:val="4F81BD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Subtitle">
    <w:name w:val="Subtitle"/>
    <w:uiPriority w:val="11"/>
    <w:basedOn w:val="Normal"/>
    <w:next w:val="Normal"/>
    <w:link w:val="SubtitleChar"/>
    <w:qFormat/>
    <w:pPr>
      <w:numPr>
        <w:ilvl w:val="0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paragraph" w:customStyle="1" w:styleId="BodyText">
    <w:name w:val="Body Text"/>
    <w:uiPriority w:val="99"/>
    <w:basedOn w:val="Normal"/>
    <w:link w:val="BodyTextChar"/>
    <w:unhideWhenUsed/>
    <w:pPr>
      <w:spacing w:after="120"/>
    </w:pPr>
  </w:style>
  <w:style w:type="character" w:customStyle="1" w:styleId="BodyTextChar">
    <w:name w:val="Body Text Char"/>
    <w:uiPriority w:val="99"/>
    <w:basedOn w:val="DefaultParagraphFont"/>
    <w:link w:val="BodyText"/>
  </w:style>
  <w:style w:type="paragraph" w:customStyle="1" w:styleId="BodyText2">
    <w:name w:val="Body Text 2"/>
    <w:uiPriority w:val="99"/>
    <w:basedOn w:val="Normal"/>
    <w:link w:val="BodyText2Char"/>
    <w:unhideWhenUsed/>
    <w:pPr>
      <w:spacing w:after="120" w:line="480" w:lineRule="auto"/>
    </w:pPr>
  </w:style>
  <w:style w:type="character" w:customStyle="1" w:styleId="BodyText2Char">
    <w:name w:val="Body Text 2 Char"/>
    <w:uiPriority w:val="99"/>
    <w:basedOn w:val="DefaultParagraphFont"/>
    <w:link w:val="BodyText2"/>
  </w:style>
  <w:style w:type="paragraph" w:customStyle="1" w:styleId="BodyText3">
    <w:name w:val="Body Text 3"/>
    <w:uiPriority w:val="99"/>
    <w:basedOn w:val="Normal"/>
    <w:link w:val="BodyText3Char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basedOn w:val="DefaultParagraphFont"/>
    <w:link w:val="BodyText3"/>
    <w:rPr>
      <w:sz w:val="16"/>
      <w:szCs w:val="16"/>
    </w:rPr>
  </w:style>
  <w:style w:type="paragraph" w:customStyle="1" w:styleId="List">
    <w:name w:val="List"/>
    <w:uiPriority w:val="99"/>
    <w:basedOn w:val="Normal"/>
    <w:unhideWhenUsed/>
    <w:pPr>
      <w:ind w:left="360" w:hanging="360"/>
      <w:contextualSpacing/>
    </w:pPr>
  </w:style>
  <w:style w:type="paragraph" w:customStyle="1" w:styleId="List2">
    <w:name w:val="List 2"/>
    <w:uiPriority w:val="99"/>
    <w:basedOn w:val="Normal"/>
    <w:unhideWhenUsed/>
    <w:pPr>
      <w:ind w:left="720" w:hanging="360"/>
      <w:contextualSpacing/>
    </w:pPr>
  </w:style>
  <w:style w:type="paragraph" w:customStyle="1" w:styleId="List3">
    <w:name w:val="List 3"/>
    <w:uiPriority w:val="99"/>
    <w:basedOn w:val="Normal"/>
    <w:unhideWhenUsed/>
    <w:pPr>
      <w:ind w:left="1080" w:hanging="360"/>
      <w:contextualSpacing/>
    </w:pPr>
  </w:style>
  <w:style w:type="paragraph" w:customStyle="1" w:styleId="ListBullet">
    <w:name w:val="List Bullet"/>
    <w:uiPriority w:val="99"/>
    <w:basedOn w:val="Normal"/>
    <w:unhideWhenUsed/>
    <w:pPr>
      <w:contextualSpacing/>
      <w:numPr>
        <w:ilvl w:val="0"/>
        <w:numId w:val="1"/>
      </w:numPr>
    </w:pPr>
  </w:style>
  <w:style w:type="paragraph" w:customStyle="1" w:styleId="ListBullet2">
    <w:name w:val="List Bullet 2"/>
    <w:uiPriority w:val="99"/>
    <w:basedOn w:val="Normal"/>
    <w:unhideWhenUsed/>
    <w:pPr>
      <w:contextualSpacing/>
      <w:numPr>
        <w:ilvl w:val="0"/>
        <w:numId w:val="2"/>
      </w:numPr>
    </w:pPr>
  </w:style>
  <w:style w:type="paragraph" w:customStyle="1" w:styleId="ListBullet3">
    <w:name w:val="List Bullet 3"/>
    <w:uiPriority w:val="99"/>
    <w:basedOn w:val="Normal"/>
    <w:unhideWhenUsed/>
    <w:pPr>
      <w:contextualSpacing/>
      <w:numPr>
        <w:ilvl w:val="0"/>
        <w:numId w:val="3"/>
      </w:numPr>
    </w:pPr>
  </w:style>
  <w:style w:type="paragraph" w:customStyle="1" w:styleId="ListNumber">
    <w:name w:val="List Number"/>
    <w:uiPriority w:val="99"/>
    <w:basedOn w:val="Normal"/>
    <w:unhideWhenUsed/>
    <w:pPr>
      <w:contextualSpacing/>
      <w:numPr>
        <w:ilvl w:val="0"/>
        <w:numId w:val="4"/>
      </w:numPr>
    </w:pPr>
  </w:style>
  <w:style w:type="paragraph" w:customStyle="1" w:styleId="ListNumber2">
    <w:name w:val="List Number 2"/>
    <w:uiPriority w:val="99"/>
    <w:basedOn w:val="Normal"/>
    <w:unhideWhenUsed/>
    <w:pPr>
      <w:contextualSpacing/>
      <w:numPr>
        <w:ilvl w:val="0"/>
        <w:numId w:val="5"/>
      </w:numPr>
    </w:pPr>
  </w:style>
  <w:style w:type="paragraph" w:customStyle="1" w:styleId="ListNumber3">
    <w:name w:val="List Number 3"/>
    <w:uiPriority w:val="99"/>
    <w:basedOn w:val="Normal"/>
    <w:unhideWhenUsed/>
    <w:pPr>
      <w:contextualSpacing/>
      <w:numPr>
        <w:ilvl w:val="0"/>
        <w:numId w:val="6"/>
      </w:numPr>
    </w:pPr>
  </w:style>
  <w:style w:type="paragraph" w:customStyle="1" w:styleId="ListContinue">
    <w:name w:val="List Continue"/>
    <w:uiPriority w:val="99"/>
    <w:basedOn w:val="Normal"/>
    <w:unhideWhenUsed/>
    <w:pPr>
      <w:ind w:left="360"/>
      <w:contextualSpacing/>
      <w:spacing w:after="120"/>
    </w:pPr>
  </w:style>
  <w:style w:type="paragraph" w:customStyle="1" w:styleId="ListContinue2">
    <w:name w:val="List Continue 2"/>
    <w:uiPriority w:val="99"/>
    <w:basedOn w:val="Normal"/>
    <w:unhideWhenUsed/>
    <w:pPr>
      <w:ind w:left="720"/>
      <w:contextualSpacing/>
      <w:spacing w:after="120"/>
    </w:pPr>
  </w:style>
  <w:style w:type="paragraph" w:customStyle="1" w:styleId="ListContinue3">
    <w:name w:val="List Continue 3"/>
    <w:uiPriority w:val="99"/>
    <w:basedOn w:val="Normal"/>
    <w:unhideWhenUsed/>
    <w:pPr>
      <w:ind w:left="1080"/>
      <w:contextualSpacing/>
      <w:spacing w:after="120"/>
    </w:pPr>
  </w:style>
  <w:style w:type="paragraph" w:customStyle="1" w:styleId="MacroText">
    <w:name w:val="macro"/>
    <w:uiPriority w:val="99"/>
    <w:link w:val="MacroTextChar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uiPriority w:val="99"/>
    <w:basedOn w:val="DefaultParagraphFont"/>
    <w:link w:val="MacroText"/>
    <w:rPr>
      <w:rFonts w:ascii="Courier" w:hAnsi="Courier"/>
      <w:sz w:val="20"/>
      <w:szCs w:val="20"/>
    </w:rPr>
  </w:style>
  <w:style w:type="paragraph" w:styleId="Quote">
    <w:name w:val="Quote"/>
    <w:uiPriority w:val="29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000000"/>
    </w:rPr>
  </w:style>
  <w:style w:type="character" w:customStyle="1" w:styleId="Heading4Char">
    <w:name w:val="Heading 4 Char"/>
    <w:uiPriority w:val="9"/>
    <w:basedOn w:val="DefaultParagraphFont"/>
    <w:link w:val="Heading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Heading5Char">
    <w:name w:val="Heading 5 Char"/>
    <w:uiPriority w:val="9"/>
    <w:basedOn w:val="DefaultParagraphFont"/>
    <w:link w:val="Heading5"/>
    <w:semiHidden/>
    <w:rPr>
      <w:rFonts w:asciiTheme="majorHAnsi" w:eastAsiaTheme="majorEastAsia" w:hAnsiTheme="majorHAnsi" w:cstheme="majorBidi"/>
      <w:color w:val="244061"/>
    </w:rPr>
  </w:style>
  <w:style w:type="character" w:customStyle="1" w:styleId="Heading6Char">
    <w:name w:val="Heading 6 Char"/>
    <w:uiPriority w:val="9"/>
    <w:basedOn w:val="DefaultParagraphFont"/>
    <w:link w:val="Heading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Heading7Char">
    <w:name w:val="Heading 7 Char"/>
    <w:uiPriority w:val="9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Heading8Char">
    <w:name w:val="Heading 8 Char"/>
    <w:uiPriority w:val="9"/>
    <w:basedOn w:val="DefaultParagraphFont"/>
    <w:link w:val="Heading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Heading9Char">
    <w:name w:val="Heading 9 Char"/>
    <w:uiPriority w:val="9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Caption">
    <w:name w:val="caption"/>
    <w:uiPriority w:val="35"/>
    <w:basedOn w:val="Normal"/>
    <w:next w:val="Normal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character" w:styleId="Emphasis">
    <w:name w:val="Emphasis"/>
    <w:uiPriority w:val="20"/>
    <w:basedOn w:val="DefaultParagraphFont"/>
    <w:qFormat/>
    <w:rPr>
      <w:i/>
      <w:iCs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b/>
      <w:bCs/>
      <w:i/>
      <w:iCs/>
      <w:color w:val="4F81BD"/>
    </w:rPr>
  </w:style>
  <w:style w:type="character" w:styleId="SubtleEmphasis">
    <w:name w:val="Subtle Emphasis"/>
    <w:uiPriority w:val="19"/>
    <w:basedOn w:val="DefaultParagraphFont"/>
    <w:qFormat/>
    <w:rPr>
      <w:i/>
      <w:iCs/>
      <w:color w:val="7F7F7F"/>
    </w:rPr>
  </w:style>
  <w:style w:type="character" w:styleId="IntenseEmphasis">
    <w:name w:val="Intense Emphasis"/>
    <w:uiPriority w:val="21"/>
    <w:basedOn w:val="DefaultParagraphFont"/>
    <w:qFormat/>
    <w:rPr>
      <w:b/>
      <w:bCs/>
      <w:i/>
      <w:iCs/>
      <w:color w:val="4F81BD"/>
    </w:rPr>
  </w:style>
  <w:style w:type="character" w:styleId="SubtleReference">
    <w:name w:val="Subtle Reference"/>
    <w:uiPriority w:val="31"/>
    <w:basedOn w:val="DefaultParagraphFont"/>
    <w:qFormat/>
    <w:rPr>
      <w:smallCaps/>
      <w:color w:val="C0504D"/>
      <w:u w:val="single" w:color="auto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C0504D"/>
      <w:u w:val="single" w:color="auto"/>
      <w:spacing w:val="5"/>
    </w:rPr>
  </w:style>
  <w:style w:type="character" w:styleId="BookTitle">
    <w:name w:val="Book Title"/>
    <w:uiPriority w:val="33"/>
    <w:basedOn w:val="DefaultParagraphFont"/>
    <w:qFormat/>
    <w:rPr>
      <w:b/>
      <w:bCs/>
      <w:smallCaps/>
      <w:spacing w:val="5"/>
    </w:rPr>
  </w:style>
  <w:style w:type="paragraph" w:styleId="TOCHeading">
    <w:name w:val="TOC Heading"/>
    <w:uiPriority w:val="39"/>
    <w:basedOn w:val="Heading1"/>
    <w:next w:val="Normal"/>
    <w:qFormat/>
    <w:semiHidden/>
    <w:unhideWhenUsed/>
    <w:pPr>
      <w:outlineLvl w:val="9"/>
    </w:p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uiPriority w:val="60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dk1"/>
        <w:bottom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</w:style>
  <w:style w:type="table" w:styleId="LightShading-Accent1">
    <w:name w:val="Light Shading Accent 1"/>
    <w:uiPriority w:val="60"/>
    <w:basedOn w:val="TableNormal"/>
    <w:pPr>
      <w:spacing w:after="0" w:line="240" w:lineRule="auto"/>
    </w:pPr>
    <w:rPr>
      <w:color w:val="376092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uiPriority w:val="60"/>
    <w:basedOn w:val="TableNormal"/>
    <w:pPr>
      <w:spacing w:after="0" w:line="240" w:lineRule="auto"/>
    </w:pPr>
    <w:rPr>
      <w:color w:val="953735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LightShading-Accent3">
    <w:name w:val="Light Shading Accent 3"/>
    <w:uiPriority w:val="60"/>
    <w:basedOn w:val="TableNormal"/>
    <w:pPr>
      <w:spacing w:after="0" w:line="240" w:lineRule="auto"/>
    </w:pPr>
    <w:rPr>
      <w:color w:val="76933C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uiPriority w:val="60"/>
    <w:basedOn w:val="TableNormal"/>
    <w:pPr>
      <w:spacing w:after="0" w:line="240" w:lineRule="auto"/>
    </w:pPr>
    <w:rPr>
      <w:color w:val="604A7B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uiPriority w:val="60"/>
    <w:basedOn w:val="TableNormal"/>
    <w:pPr>
      <w:spacing w:after="0" w:line="240" w:lineRule="auto"/>
    </w:pPr>
    <w:rPr>
      <w:color w:val="31859B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Shading-Accent6">
    <w:name w:val="Light Shading Accent 6"/>
    <w:uiPriority w:val="60"/>
    <w:basedOn w:val="TableNormal"/>
    <w:pPr>
      <w:spacing w:after="0" w:line="240" w:lineRule="auto"/>
    </w:pPr>
    <w:rPr>
      <w:color w:val="E46C0A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LightList">
    <w:name w:val="Light List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</w:style>
  <w:style w:type="table" w:styleId="LightList-Accent1">
    <w:name w:val="Light List Accent 1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1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  <w:shd w:val="clear" w:color="auto" w:fill="BFBFBF" w:themeFill="dk1" w:themeFillTint="3f"/>
      </w:tcPr>
    </w:tblStylePr>
    <w:tblStylePr w:type="band2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</w:tcPr>
    </w:tblStylePr>
  </w:style>
  <w:style w:type="table" w:styleId="LightGrid-Accent1">
    <w:name w:val="Light Grid Accent 1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dk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dk1"/>
        <w:bottom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dk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shd w:val="clear" w:color="auto" w:fill="BFBFBF" w:themeFill="dk1" w:themeFillTint="3f"/>
      </w:tcPr>
    </w:tblStylePr>
  </w:style>
  <w:style w:type="table" w:styleId="MediumList1-Accent1">
    <w:name w:val="Medium List 1 Accen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MediumList1-Accent3">
    <w:name w:val="Medium List 1 Accent 3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MediumList1-Accent6">
    <w:name w:val="Medium List 1 Accent 6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MediumList2">
    <w:name w:val="Medium Lis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dk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dk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000000" w:themeColor="dk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dk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  <w:insideV w:val="single" w:sz="8" w:space="0" w:color="3F3F3F" w:themeColor="dk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dk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MediumGrid1-Accent1">
    <w:name w:val="Medium Grid 1 Accent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MediumGrid1-Accent2">
    <w:name w:val="Medium Grid 1 Accent 2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color w:val="000000"/>
      </w:rPr>
      <w:tblPr/>
      <w:tcPr>
        <w:shd w:val="clear" w:color="auto" w:fill="E5E5E5" w:themeFill="dk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dk1" w:themeFillTint="33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tcBorders>
          <w:insideH w:val="single" w:sz="6" w:space="0" w:color="000000" w:themeColor="dk1"/>
          <w:insideV w:val="single" w:sz="6" w:space="0" w:color="000000" w:themeColor="dk1"/>
        </w:tcBorders>
        <w:shd w:val="clear" w:color="auto" w:fill="7F7F7F" w:themeFill="dk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1">
    <w:name w:val="Medium Grid 2 Accent 1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2">
    <w:name w:val="Medium Grid 2 Accent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3">
    <w:name w:val="Medium Grid 2 Accent 3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4">
    <w:name w:val="Medium Grid 2 Accent 4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5">
    <w:name w:val="Medium Grid 2 Accent 5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6">
    <w:name w:val="Medium Grid 2 Accent 6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3">
    <w:name w:val="Medium Grid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7F7F7F" w:themeFill="dk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7F7F7F" w:themeFill="dk1" w:themeFillTint="7f"/>
      </w:tcPr>
    </w:tblStylePr>
  </w:style>
  <w:style w:type="table" w:styleId="MediumGrid3-Accent1">
    <w:name w:val="Medium Grid 3 Accent 1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7C0DE" w:themeFill="accent1" w:themeFillTint="7f"/>
      </w:tcPr>
    </w:tblStylePr>
  </w:style>
  <w:style w:type="table" w:styleId="MediumGrid3-Accent2">
    <w:name w:val="Medium Grid 3 Accent 2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FBCAA2" w:themeFill="accent6" w:themeFillTint="7f"/>
      </w:tcPr>
    </w:tblStylePr>
  </w:style>
  <w:style w:type="table" w:styleId="DarkList">
    <w:name w:val="Dark List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000000" w:themeFill="dk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000000" w:themeFill="dk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</w:style>
  <w:style w:type="table" w:styleId="DarkList-Accent1">
    <w:name w:val="Dark List Accent 1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DarkList-Accent2">
    <w:name w:val="Dark List Accent 2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DarkList-Accent3">
    <w:name w:val="Dark List Accent 3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DarkList-Accent4">
    <w:name w:val="Dark List Accent 4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DarkList-Accent5">
    <w:name w:val="Dark List Accent 5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DarkList-Accent6">
    <w:name w:val="Dark List Accent 6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ColorfulShading">
    <w:name w:val="Colorful Shading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000000" w:themeFill="dk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dk1" w:themeShade="99"/>
          <w:insideV w:val="nil"/>
        </w:tcBorders>
        <w:shd w:val="clear" w:color="auto" w:fill="000000" w:themeFill="dk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shd w:val="clear" w:color="auto" w:fill="989898" w:themeFill="dk1" w:themeFillTint="66"/>
      </w:tcPr>
    </w:tblStylePr>
    <w:tblStylePr w:type="band1Horz">
      <w:tblPr/>
      <w:tcPr>
        <w:shd w:val="clear" w:color="auto" w:fill="7F7F7F" w:themeFill="dk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shd w:val="clear" w:color="auto" w:fill="CBCBCB" w:themeFill="dk1" w:themeFillTint="33"/>
      </w:tcPr>
    </w:tblStylePr>
  </w:style>
  <w:style w:type="table" w:styleId="ColorfulList-Accent1">
    <w:name w:val="Colorful List Accent 1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ColorfulList-Accent4">
    <w:name w:val="Colorful List Accent 4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ColorfulList-Accent5">
    <w:name w:val="Colorful List Accent 5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ColorfulGrid">
    <w:name w:val="Colorful Grid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BCBCB" w:themeFill="dk1" w:themeFillTint="33"/>
    </w:tcPr>
    <w:tblStylePr w:type="firstRow">
      <w:rPr>
        <w:b/>
        <w:bCs/>
      </w:rPr>
      <w:tblPr/>
      <w:tcPr>
        <w:shd w:val="clear" w:color="auto" w:fill="989898" w:themeFill="dk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dk1" w:themeFillTint="66"/>
      </w:tcPr>
    </w:tblStylePr>
    <w:tblStylePr w:type="firstCol">
      <w:rPr>
        <w:color w:val="FFFFFF"/>
      </w:rPr>
      <w:tblPr/>
      <w:tcPr>
        <w:shd w:val="clear" w:color="auto" w:fill="000000" w:themeFill="dk1" w:themeFillShade="bf"/>
      </w:tcPr>
    </w:tblStylePr>
    <w:tblStylePr w:type="lastCol">
      <w:rPr>
        <w:color w:val="FFFFFF"/>
      </w:rPr>
      <w:tblPr/>
      <w:tcPr>
        <w:shd w:val="clear" w:color="auto" w:fill="000000" w:themeFill="dk1" w:themeFillShade="bf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ColorfulGrid-Accent1">
    <w:name w:val="Colorful Grid Accent 1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ColorfulGrid-Accent2">
    <w:name w:val="Colorful Grid Accent 2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footer" Target="footer1.xml" /><Relationship Id="rId1" Type="http://schemas.openxmlformats.org/officeDocument/2006/relationships/image" Target="media/image1.pn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2026년 한국폴리텍대학 서울정수캠퍼스 재취업과정 교육생 모집 홍보 안내문(최종수정)</dc:title>
  <dc:subject>중장년특화(집중)과정 및 여성재취업과정 교육생 모집 홍보 안내</dc:subject>
  <dc:creator>한국폴리텍대학 서울정수캠퍼스</dc:creator>
  <cp:keywords/>
  <dc:description>generated by python-docx</dc:description>
  <cp:lastModifiedBy>eoweif_67htwe_grg9we</cp:lastModifiedBy>
  <cp:revision>1</cp:revision>
  <dcterms:created xsi:type="dcterms:W3CDTF">2013-12-23T23:15:00Z</dcterms:created>
  <dcterms:modified xsi:type="dcterms:W3CDTF">2026-09-18T02:19:04Z</dcterms:modified>
  <cp:version>1000.0100.01</cp:version>
</cp:coreProperties>
</file>