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4195"/>
        <w:gridCol w:w="6397"/>
      </w:tblGrid>
      <w:tr>
        <w:trPr>
          <w:trHeight w:val="1218" w:hRule="atLeast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Phetsarath OT" w:eastAsia="Phetsarath OT" w:hAnsi="Phetsarath OT" w:cs="Phetsarath OT"/>
                <w:b/>
                <w:sz w:val="22"/>
                <w:szCs w:val="22"/>
              </w:rPr>
            </w:pPr>
            <w:r>
              <w:rPr>
                <w:lang w:eastAsia="ko-KR"/>
                <w:rFonts w:ascii="Phetsarath OT" w:eastAsia="Phetsarath OT" w:hAnsi="Phetsarath OT" w:cs="Phetsarath OT"/>
                <w:b/>
                <w:sz w:val="22"/>
                <w:szCs w:val="22"/>
                <w:rtl w:val="off"/>
              </w:rPr>
              <w:t xml:space="preserve">  </w:t>
            </w:r>
            <w:r>
              <w:rPr>
                <w:rFonts w:ascii="Phetsarath OT" w:eastAsia="Phetsarath OT" w:hAnsi="Phetsarath OT" w:cs="Phetsarath OT"/>
                <w:b/>
                <w:sz w:val="22"/>
                <w:szCs w:val="22"/>
              </w:rPr>
              <w:t>ພວກເຮົາຂໍແຈ້ງໃຫ້ທ່ານຊາບກ່ຽວກັບການສັກຢາວັກຊິນເພີ່ມເຕີມສໍາລັບ</w:t>
            </w:r>
          </w:p>
          <w:p>
            <w:pPr>
              <w:pStyle w:val="a9"/>
              <w:ind w:firstLine="240"/>
              <w:wordWrap/>
              <w:jc w:val="left"/>
              <w:rPr>
                <w:rFonts w:ascii="HY견고딕" w:eastAsia="HY견고딕" w:cs="HY견고딕"/>
                <w:color w:val="203A7B"/>
                <w:sz w:val="36"/>
                <w:szCs w:val="36"/>
                <w:imprint/>
              </w:rPr>
            </w:pPr>
            <w:r>
              <w:rPr>
                <w:rFonts w:ascii="Phetsarath OT" w:eastAsia="Phetsarath OT" w:hAnsi="Phetsarath OT" w:cs="Phetsarath OT"/>
                <w:b/>
                <w:sz w:val="22"/>
                <w:szCs w:val="22"/>
              </w:rPr>
              <w:t>ຄົນຕ່າງປະເທດໃນຊ່ວງລະດູຫນາວຂອງ</w:t>
            </w:r>
            <w:r>
              <w:rPr>
                <w:rFonts w:ascii="Phetsarath OT" w:eastAsia="Phetsarath OT" w:hAnsi="Phetsarath OT" w:cs="Phetsarath OT"/>
                <w:b/>
                <w:sz w:val="22"/>
                <w:szCs w:val="22"/>
              </w:rPr>
              <w:t xml:space="preserve"> ໂຄວິດ-19.</w:t>
            </w:r>
            <w:r>
              <w:rPr>
                <w:rFonts w:ascii="HY견고딕" w:eastAsia="HY견고딕" w:cs="HY견고딕"/>
                <w:color w:val="203A7B"/>
                <w:sz w:val="36"/>
                <w:szCs w:val="36"/>
                <w:imprint/>
              </w:rPr>
              <w:t xml:space="preserve"> </w:t>
            </w:r>
          </w:p>
        </w:tc>
      </w:tr>
      <w:tr>
        <w:trPr>
          <w:trHeight w:val="1162" w:hRule="atLeast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Bdr>
                <w:between w:val="nil"/>
                <w:top w:val="nil"/>
                <w:left w:val="nil"/>
                <w:bottom w:val="nil"/>
                <w:right w:val="nil"/>
              </w:pBdr>
              <w:rPr>
                <w:rFonts w:ascii="Phetsarath OT" w:eastAsia="Phetsarath OT" w:hAnsi="Phetsarath OT" w:cs="Phetsarath OT"/>
                <w:color w:val="000000"/>
                <w:sz w:val="22"/>
                <w:szCs w:val="22"/>
              </w:rPr>
            </w:pPr>
            <w:r>
              <w:rPr>
                <w:lang w:eastAsia="ko-KR"/>
                <w:rFonts w:ascii="Phetsarath OT" w:eastAsia="Phetsarath OT" w:hAnsi="Phetsarath OT" w:cs="Phetsarath OT"/>
                <w:sz w:val="22"/>
                <w:szCs w:val="22"/>
                <w:rtl w:val="off"/>
              </w:rPr>
              <w:t xml:space="preserve">     </w:t>
            </w:r>
            <w:r>
              <w:rPr>
                <w:rFonts w:ascii="Phetsarath OT" w:eastAsia="Phetsarath OT" w:hAnsi="Phetsarath OT" w:cs="Phetsarath OT"/>
                <w:sz w:val="22"/>
                <w:szCs w:val="22"/>
              </w:rPr>
              <w:t>ສຳລັບພົນລະເມືອງທຸກຄົນທີ່ມີອາຍຸ</w:t>
            </w:r>
            <w:r>
              <w:rPr>
                <w:rFonts w:ascii="Phetsarath OT" w:eastAsia="Phetsarath OT" w:hAnsi="Phetsarath OT" w:cs="Phetsarath OT"/>
                <w:sz w:val="22"/>
                <w:szCs w:val="22"/>
              </w:rPr>
              <w:t xml:space="preserve"> 18 </w:t>
            </w:r>
            <w:r>
              <w:rPr>
                <w:rFonts w:ascii="Phetsarath OT" w:eastAsia="Phetsarath OT" w:hAnsi="Phetsarath OT" w:cs="Phetsarath OT"/>
                <w:sz w:val="22"/>
                <w:szCs w:val="22"/>
              </w:rPr>
              <w:t>ປີຂຶ້ນໄປ</w:t>
            </w:r>
            <w:r>
              <w:rPr>
                <w:rFonts w:ascii="Phetsarath OT" w:eastAsia="Phetsarath OT" w:hAnsi="Phetsarath OT" w:cs="Phetsarath OT"/>
                <w:sz w:val="22"/>
                <w:szCs w:val="22"/>
              </w:rPr>
              <w:t>.</w:t>
            </w:r>
          </w:p>
          <w:p>
            <w:pPr>
              <w:pStyle w:val="a9"/>
              <w:ind w:firstLine="540"/>
              <w:wordWrap/>
              <w:jc w:val="left"/>
              <w:rPr>
                <w:sz w:val="24"/>
                <w:szCs w:val="24"/>
              </w:rPr>
            </w:pPr>
            <w:r>
              <w:rPr>
                <w:rFonts w:ascii="Phetsarath OT" w:eastAsia="Phetsarath OT" w:hAnsi="Phetsarath OT" w:cs="Phetsarath OT"/>
                <w:sz w:val="22"/>
                <w:szCs w:val="22"/>
              </w:rPr>
              <w:t>ກະລຸນາມີສ່ວນຮ່ວມຢ່າງຈິງຈັງໃນການສັກຢາປ້ອງກັນການຕິດເຊື້ອແລະເຊື້ອພະຍາດຮ້າຍແຮງ.</w:t>
            </w:r>
          </w:p>
        </w:tc>
      </w:tr>
      <w:tr>
        <w:trPr>
          <w:trHeight w:val="3669" w:hRule="atLeast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9"/>
              <w:rPr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behindDoc="0" locked="0" layoutInCell="1" simplePos="0" relativeHeight="251657728" allowOverlap="1" hidden="0">
                      <wp:simplePos x="0" y="0"/>
                      <wp:positionH relativeFrom="column">
                        <wp:posOffset>498471</wp:posOffset>
                      </wp:positionH>
                      <wp:positionV relativeFrom="paragraph">
                        <wp:posOffset>-66979</wp:posOffset>
                      </wp:positionV>
                      <wp:extent cx="2131060" cy="333375"/>
                      <wp:effectExtent l="2095" t="2095" r="2095" b="2095"/>
                      <wp:wrapNone/>
                      <wp:docPr id="1025" name="shape102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 xmlns="http://schemas.openxmlformats.org/drawingml/2006/main">
                                  <a:gd name="adj1" fmla="val 0"/>
                                  <a:gd name="adj2" fmla="val 2147483647"/>
                                  <a:gd name="adj3" fmla="val 0"/>
                                </a:avLst>
                                <a:gdLst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lnTo>
                                      <a:pt x="0" y="1312"/>
                                    </a:ln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lnTo>
                                      <a:pt x="13924" y="1312"/>
                                    </a:ln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ບູລິມະສິດໃນການສັກຢາວັກຊິນ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style="position:absolute;margin-left:39.2497pt;margin-top:-5.27394pt;width:167.8pt;height:26.25pt;mso-position-horizontal-relative:column;mso-position-vertical-relative:line;v-text-anchor:middle;mso-wrap-style:square;z-index:251657728" coordsize="13924, 2624" o:allowincell="t" path="m1312,0c656,0,0,655,0,1312l0,1312c0,1969,656,2624,1312,2624l12612,2624c13269,2624,13924,1969,13924,1312l13924,1312c13924,655,13269,0,12612,0xe" filled="t" fillcolor="#ffffff" stroked="t" strokecolor="#0" strokeweight="0.33pt" adj="">
                      <v:textbox inset="1.0mm,1.0mm,1.0mm,1.0mm"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cs/>
                                <w:rtl w:val="off"/>
                              </w:rPr>
                              <w:t>ບູລິມະສິດໃນການສັກຢາວັກຊິນ</w:t>
                            </w:r>
                          </w:p>
                        </w:txbxContent>
                      </v:textbox>
                      <v:stroke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76200" distL="114300" distR="76200" behindDoc="0" locked="0" layoutInCell="1" simplePos="0" relativeHeight="251656704" allowOverlap="1" hidden="0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59795</wp:posOffset>
                      </wp:positionV>
                      <wp:extent cx="3157854" cy="2038985"/>
                      <wp:effectExtent l="2159" t="2159" r="2158" b="2159"/>
                      <wp:wrapNone/>
                      <wp:docPr id="1026" name="shape1026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57854" cy="2038985"/>
                              </a:xfrm>
                              <a:custGeom>
                                <a:avLst xmlns="http://schemas.openxmlformats.org/drawingml/2006/main">
                                  <a:gd name="adj1" fmla="val 0"/>
                                  <a:gd name="adj2" fmla="val 2147483647"/>
                                  <a:gd name="adj3" fmla="val 0"/>
                                </a:avLst>
                                <a:gdLst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a9"/>
                                    <w:ind w:left="143"/>
                                    <w:wordWrap/>
                                    <w:jc w:val="left"/>
                                    <w:spacing w:line="257" w:lineRule="auto"/>
                                    <w:rPr>
                                      <w:rFonts w:ascii="함초롬돋움" w:eastAsia="함초롬돋움" w:cs="함초롬돋움"/>
                                      <w:sz w:val="16"/>
                                      <w:szCs w:val="16"/>
                                      <w:spacing w:val="-8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ສໍາລັບຜູ້ມີອາຍຸ 18 ປີຂ ຶ້ນໄປ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함초롬돋움" w:eastAsia="함초롬돋움" w:cs="함초롬돋움"/>
                                      <w:sz w:val="24"/>
                                      <w:szCs w:val="24"/>
                                      <w:spacing w:val="-9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ທີີ່ໄດ້ສໍາເລັດການສັກຢາວັກຊີນພືຶ້ນຖານ (ຄັຶ້ງທີ1 ແລະ 2).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style="position:absolute;margin-left:-1.15pt;margin-top:4.70827pt;width:248.65pt;height:160.55pt;mso-position-horizontal-relative:column;mso-position-vertical-relative:line;v-text-anchor:middle;mso-wrap-style:square;z-index:251656704" coordsize="20634, 16054" o:allowincell="t" path="m3209,0c642,0,0,640,0,3210l0,12844c0,15414,642,16054,3209,16054l17424,16054c19993,16054,20634,15414,20634,12844l20634,3210c20634,640,19993,0,17424,0xe" filled="t" fillcolor="#ffffff" stroked="t" strokecolor="#0" strokeweight="0.34pt" adj="">
                      <v:textbox inset="1.0mm,1.0mm,1.0mm,1.0mm">
                        <w:txbxContent>
                          <w:p>
                            <w:pPr>
                              <w:pStyle w:val="a9"/>
                              <w:ind w:left="143"/>
                              <w:wordWrap/>
                              <w:jc w:val="left"/>
                              <w:spacing w:line="257" w:lineRule="auto"/>
                              <w:rPr>
                                <w:rFonts w:ascii="함초롬돋움" w:eastAsia="함초롬돋움" w:cs="함초롬돋움"/>
                                <w:sz w:val="16"/>
                                <w:szCs w:val="16"/>
                                <w:spacing w:val="-8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ສໍາລັບຜູ້ມີອາຍຸ 18 ປີຂ ຶ້ນໄປ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함초롬돋움" w:eastAsia="함초롬돋움" w:cs="함초롬돋움"/>
                                <w:sz w:val="24"/>
                                <w:szCs w:val="24"/>
                                <w:spacing w:val="-9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ທີີ່ໄດ້ສໍາເລັດການສັກຢາວັກຊີນພືຶ້ນຖານ (ຄັຶ້ງທີ1 ແລະ 2).</w:t>
                            </w:r>
                          </w:p>
                        </w:txbxContent>
                      </v:textbox>
                      <v:stroke joinstyle="round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9"/>
              <w:rPr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behindDoc="0" locked="0" layoutInCell="1" simplePos="0" relativeHeight="251659776" allowOverlap="1" hidden="0">
                      <wp:simplePos x="0" y="0"/>
                      <wp:positionH relativeFrom="column">
                        <wp:posOffset>1533525</wp:posOffset>
                      </wp:positionH>
                      <wp:positionV relativeFrom="paragraph">
                        <wp:posOffset>-6540</wp:posOffset>
                      </wp:positionV>
                      <wp:extent cx="2131060" cy="333375"/>
                      <wp:effectExtent l="2095" t="2095" r="2095" b="2095"/>
                      <wp:wrapNone/>
                      <wp:docPr id="1027" name="shape1027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 xmlns="http://schemas.openxmlformats.org/drawingml/2006/main">
                                  <a:gd name="adj1" fmla="val 0"/>
                                  <a:gd name="adj2" fmla="val 2147483647"/>
                                  <a:gd name="adj3" fmla="val 0"/>
                                </a:avLst>
                                <a:gdLst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lnTo>
                                      <a:pt x="0" y="1312"/>
                                    </a:ln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lnTo>
                                      <a:pt x="13924" y="1312"/>
                                    </a:ln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ໄລຍະຫ່າງຂອງການສັກຢາ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style="position:absolute;margin-left:120.75pt;margin-top:-0.514961pt;width:167.8pt;height:26.25pt;mso-position-horizontal-relative:column;mso-position-vertical-relative:line;v-text-anchor:middle;mso-wrap-style:square;z-index:251659776" coordsize="13924, 2624" o:allowincell="t" path="m1312,0c656,0,0,655,0,1312l0,1312c0,1969,656,2624,1312,2624l12612,2624c13269,2624,13924,1969,13924,1312l13924,1312c13924,655,13269,0,12612,0xe" filled="t" fillcolor="#ffffff" stroked="t" strokecolor="#0" strokeweight="0.33pt" adj="">
                      <v:textbox inset="1.0mm,1.0mm,1.0mm,1.0mm"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cs/>
                                <w:rtl w:val="off"/>
                              </w:rPr>
                              <w:t>ໄລຍະຫ່າງຂອງການສັກຢາ</w:t>
                            </w:r>
                          </w:p>
                        </w:txbxContent>
                      </v:textbox>
                      <v:stroke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76200" distL="114300" distR="76200" behindDoc="0" locked="0" layoutInCell="1" simplePos="0" relativeHeight="251658752" allowOverlap="1" hidden="0">
                      <wp:simplePos x="0" y="0"/>
                      <wp:positionH relativeFrom="page">
                        <wp:posOffset>-1708148</wp:posOffset>
                      </wp:positionH>
                      <wp:positionV relativeFrom="page">
                        <wp:posOffset>193040</wp:posOffset>
                      </wp:positionV>
                      <wp:extent cx="3195955" cy="2038985"/>
                      <wp:effectExtent l="2159" t="2159" r="2158" b="2159"/>
                      <wp:wrapNone/>
                      <wp:docPr id="1028" name="shape1028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 xmlns="http://schemas.openxmlformats.org/drawingml/2006/main">
                                  <a:gd name="adj1" fmla="val 0"/>
                                  <a:gd name="adj2" fmla="val 2147483647"/>
                                  <a:gd name="adj3" fmla="val 0"/>
                                </a:avLst>
                                <a:gdLst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a9"/>
                                    <w:ind w:left="172"/>
                                    <w:spacing w:line="240" w:lineRule="auto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z w:val="24"/>
                                      <w:szCs w:val="24"/>
                                      <w:spacing w:val="-9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 xml:space="preserve">ໄລຍະສັກຢາວັກຊິນ ມືຶ້ສຸດທ້າຍຜ່ານມາໄດ້ 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4 ເດືອນແລ້ວ (120 ມືຶ້)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lang w:eastAsia="ko-KR"/>
                                      <w:rFonts w:hint="eastAsia"/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  <w:t>** ຖ້າມີປະຫວັດການວິນິດໄສ (ບົົ່ງມະຕິ) ວ່າມີການຕິດເຊືຶ້ອ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lang w:eastAsia="ko-KR"/>
                                      <w:rFonts w:hint="eastAsia"/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  <w:t>ແນະນໍາໃຫ້ສັກວັກຊີນ 4 ເດືອນຫັງຈາກມືຶ້ສັກຢາຄັຶ້ງສຸດທ້າຍ ຫ ື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lang w:eastAsia="ko-KR"/>
                                      <w:rFonts w:hint="eastAsia"/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  <w:t xml:space="preserve">4 ເດືອນ ຫລັງການຢືນຢັນຕິດເຊືຶ້ອຄັຶ້ງສຸດທ້າຍ, 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함초롬돋움" w:eastAsia="함초롬돋움" w:cs="함초롬돋움"/>
                                      <w:sz w:val="18"/>
                                      <w:szCs w:val="20"/>
                                      <w:spacing w:val="-10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  <w:t>ສິີ່ງໃດທີີ່ລຸ້ນຫລັງແມ່ນຖືເອົາອັນນັຶ້ນ.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style="position:absolute;margin-left:-134.5pt;margin-top:15.2pt;width:251.65pt;height:160.55pt;mso-position-horizontal-relative:page;mso-position-vertical-relative:page;v-text-anchor:middle;mso-wrap-style:square;z-index:251658752" coordsize="20885, 16053" o:allowincell="t" path="m3209,0c642,0,0,640,0,3209l0,12844c0,15413,642,16053,3209,16053l17674,16053c20243,16053,20885,15413,20885,12844l20885,3209c20885,640,20243,0,17674,0xe" filled="t" fillcolor="#ffffff" stroked="t" strokecolor="#0" strokeweight="0.34pt" adj="">
                      <v:textbox inset="1.0mm,1.0mm,1.0mm,1.0mm">
                        <w:txbxContent>
                          <w:p>
                            <w:pPr>
                              <w:pStyle w:val="a9"/>
                              <w:ind w:left="172"/>
                              <w:spacing w:line="240" w:lineRule="auto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z w:val="24"/>
                                <w:szCs w:val="24"/>
                                <w:spacing w:val="-9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 xml:space="preserve">ໄລຍະສັກຢາວັກຊິນ ມືຶ້ສຸດທ້າຍຜ່ານມາໄດ້ </w:t>
                            </w:r>
                          </w:p>
                          <w:p>
                            <w:pPr>
                              <w:jc w:val="center"/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4 ເດືອນແລ້ວ (120 ມືຶ້)</w:t>
                            </w:r>
                          </w:p>
                          <w:p>
                            <w:pPr>
                              <w:jc w:val="center"/>
                              <w:rPr>
                                <w:lang w:eastAsia="ko-KR"/>
                                <w:rFonts w:hint="eastAsia"/>
                                <w:sz w:val="18"/>
                                <w:szCs w:val="20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  <w:cs/>
                                <w:rtl w:val="off"/>
                              </w:rPr>
                              <w:t>** ຖ້າມີປະຫວັດການວິນິດໄສ (ບົົ່ງມະຕິ) ວ່າມີການຕິດເຊືຶ້ອ</w:t>
                            </w:r>
                          </w:p>
                          <w:p>
                            <w:pPr>
                              <w:jc w:val="center"/>
                              <w:rPr>
                                <w:lang w:eastAsia="ko-KR"/>
                                <w:rFonts w:hint="eastAsia"/>
                                <w:sz w:val="18"/>
                                <w:szCs w:val="20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  <w:cs/>
                                <w:rtl w:val="off"/>
                              </w:rPr>
                              <w:t>ແນະນໍາໃຫ້ສັກວັກຊີນ 4 ເດືອນຫັງຈາກມືຶ້ສັກຢາຄັຶ້ງສຸດທ້າຍ ຫ ື</w:t>
                            </w:r>
                          </w:p>
                          <w:p>
                            <w:pPr>
                              <w:jc w:val="center"/>
                              <w:rPr>
                                <w:lang w:eastAsia="ko-KR"/>
                                <w:rFonts w:hint="eastAsia"/>
                                <w:sz w:val="18"/>
                                <w:szCs w:val="20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  <w:cs/>
                                <w:rtl w:val="off"/>
                              </w:rPr>
                              <w:t xml:space="preserve">4 ເດືອນ ຫລັງການຢືນຢັນຕິດເຊືຶ້ອຄັຶ້ງສຸດທ້າຍ, 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함초롬돋움" w:eastAsia="함초롬돋움" w:cs="함초롬돋움"/>
                                <w:sz w:val="18"/>
                                <w:szCs w:val="20"/>
                                <w:spacing w:val="-1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  <w:cs/>
                                <w:rtl w:val="off"/>
                              </w:rPr>
                              <w:t>ສິີ່ງໃດທີີ່ລຸ້ນຫລັງແມ່ນຖືເອົາອັນນັຶ້ນ.</w:t>
                            </w:r>
                          </w:p>
                        </w:txbxContent>
                      </v:textbox>
                      <v:stroke joinstyle="round"/>
                    </v:shape>
                  </w:pict>
                </mc:Fallback>
              </mc:AlternateContent>
            </w:r>
          </w:p>
        </w:tc>
      </w:tr>
      <w:tr>
        <w:trPr>
          <w:trHeight w:val="3952" w:hRule="atLeast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9"/>
              <w:rPr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behindDoc="0" locked="0" layoutInCell="1" simplePos="0" relativeHeight="251661824" allowOverlap="1" hidden="0">
                      <wp:simplePos x="0" y="0"/>
                      <wp:positionH relativeFrom="column">
                        <wp:posOffset>539116</wp:posOffset>
                      </wp:positionH>
                      <wp:positionV relativeFrom="paragraph">
                        <wp:posOffset>121920</wp:posOffset>
                      </wp:positionV>
                      <wp:extent cx="2291715" cy="333375"/>
                      <wp:effectExtent l="2095" t="2095" r="2095" b="2095"/>
                      <wp:wrapNone/>
                      <wp:docPr id="1029" name="shape1029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 xmlns="http://schemas.openxmlformats.org/drawingml/2006/main">
                                  <a:gd name="adj1" fmla="val 0"/>
                                  <a:gd name="adj2" fmla="val 2147483647"/>
                                  <a:gd name="adj3" fmla="val 0"/>
                                </a:avLst>
                                <a:gdLst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lnTo>
                                      <a:pt x="0" y="1312"/>
                                    </a:ln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lnTo>
                                      <a:pt x="13924" y="1312"/>
                                    </a:ln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/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ຊະນິດຂອງວັກຊີນ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35941" tIns="35941" rIns="35941" bIns="35941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style="position:absolute;margin-left:42.4501pt;margin-top:9.6pt;width:180.45pt;height:26.25pt;mso-position-horizontal-relative:column;mso-position-vertical-relative:line;v-text-anchor:middle;mso-wrap-style:square;z-index:251661824" coordsize="13924, 2624" o:allowincell="t" path="m1312,0c656,0,0,655,0,1312l0,1312c0,1969,656,2624,1312,2624l12612,2624c13269,2624,13924,1969,13924,1312l13924,1312c13924,655,13269,0,12612,0xe" filled="t" fillcolor="#ffffff" stroked="t" strokecolor="#0" strokeweight="0.33pt" adj="">
                      <v:textbox inset="1.0mm,1.0mm,1.0mm,1.0mm">
                        <w:txbxContent>
                          <w:p>
                            <w:pPr>
                              <w:jc w:val="center"/>
                              <w:rPr/>
                            </w:pPr>
                            <w:r>
                              <w:rPr>
                                <w:cs/>
                                <w:rtl w:val="off"/>
                              </w:rPr>
                              <w:t>ຊະນິດຂອງວັກຊີນ</w:t>
                            </w:r>
                          </w:p>
                          <w:p/>
                        </w:txbxContent>
                      </v:textbox>
                      <v:stroke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76200" distL="114300" distR="76200" behindDoc="0" locked="0" layoutInCell="1" simplePos="0" relativeHeight="251660800" allowOverlap="1" hidden="0">
                      <wp:simplePos x="0" y="0"/>
                      <wp:positionH relativeFrom="page">
                        <wp:posOffset>110490</wp:posOffset>
                      </wp:positionH>
                      <wp:positionV relativeFrom="page">
                        <wp:posOffset>302260</wp:posOffset>
                      </wp:positionV>
                      <wp:extent cx="3160395" cy="2766695"/>
                      <wp:effectExtent l="2159" t="2159" r="2158" b="2158"/>
                      <wp:wrapNone/>
                      <wp:docPr id="1030" name="shape1030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60395" cy="2766695"/>
                              </a:xfrm>
                              <a:custGeom>
                                <a:avLst xmlns="http://schemas.openxmlformats.org/drawingml/2006/main">
                                  <a:gd name="adj1" fmla="val 0"/>
                                  <a:gd name="adj2" fmla="val 2147483647"/>
                                  <a:gd name="adj3" fmla="val 0"/>
                                </a:avLst>
                                <a:gdLst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a9"/>
                                    <w:ind w:left="143"/>
                                    <w:wordWrap/>
                                    <w:jc w:val="left"/>
                                    <w:spacing w:line="257" w:lineRule="auto"/>
                                    <w:rPr>
                                      <w:rFonts w:ascii="함초롬돋움" w:eastAsia="함초롬돋움" w:cs="함초롬돋움"/>
                                      <w:sz w:val="16"/>
                                      <w:szCs w:val="16"/>
                                      <w:spacing w:val="-13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lang w:eastAsia="ko-KR"/>
                                      <w:rFonts w:hint="eastAsia"/>
                                      <w:rtl w:val="off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  <w:t xml:space="preserve">ວັກຊີນ ປະສົມທີີ່ເໝາະກັບ ການປ້ອງກັນເຊືຶ້ອ ໂອມີຄ ອນອີງໃສ່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  <w:t>BA.1 (Modena, Pfizer)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  <w:t xml:space="preserve">ອີງໃສ່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  <w:t>BA.4/5 (Pfizer)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lang w:eastAsia="ko-KR"/>
                                      <w:rFonts w:hint="eastAsia"/>
                                      <w:rtl w:val="off"/>
                                    </w:rPr>
                                  </w:pPr>
                                  <w:r>
                                    <w:rPr/>
                                    <w:t xml:space="preserve">※ </w:t>
                                  </w: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ວັກຊີນປະສົມ (</w:t>
                                  </w:r>
                                  <w:r>
                                    <w:rPr/>
                                    <w:t xml:space="preserve">NovaVax, Skycobi One) 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함초롬돋움" w:eastAsia="함초롬돋움" w:cs="함초롬돋움"/>
                                      <w:sz w:val="18"/>
                                      <w:szCs w:val="18"/>
                                      <w:spacing w:val="-8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ຍັງຖືກໃຊ້ເປັນຢາວັກຊິນເສີມ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style="position:absolute;margin-left:8.7pt;margin-top:23.8pt;width:248.85pt;height:217.85pt;mso-position-horizontal-relative:page;mso-position-vertical-relative:page;v-text-anchor:middle;mso-wrap-style:square;z-index:251660800" coordsize="20634, 18708" o:allowincell="t" path="m3739,0c748,0,0,747,0,3740l0,14967c0,17961,748,18708,3739,18708l16893,18708c19887,18708,20634,17961,20634,14967l20634,3740c20634,747,19887,0,16893,0xe" filled="t" fillcolor="#ffffff" stroked="t" strokecolor="#0" strokeweight="0.34pt" adj="">
                      <v:textbox inset="1.0mm,1.0mm,1.0mm,1.0mm">
                        <w:txbxContent>
                          <w:p>
                            <w:pPr>
                              <w:pStyle w:val="a9"/>
                              <w:ind w:left="143"/>
                              <w:wordWrap/>
                              <w:jc w:val="left"/>
                              <w:spacing w:line="257" w:lineRule="auto"/>
                              <w:rPr>
                                <w:rFonts w:ascii="함초롬돋움" w:eastAsia="함초롬돋움" w:cs="함초롬돋움"/>
                                <w:sz w:val="16"/>
                                <w:szCs w:val="16"/>
                                <w:spacing w:val="-13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lang w:eastAsia="ko-KR"/>
                                <w:rFonts w:hint="eastAsia"/>
                                <w:rtl w:val="off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20"/>
                                <w:cs/>
                                <w:rtl w:val="off"/>
                              </w:rPr>
                              <w:t xml:space="preserve">ວັກຊີນ ປະສົມທີີ່ເໝາະກັບ ການປ້ອງກັນເຊືຶ້ອ ໂອມີຄ ອນອີງໃສ່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  <w:t>BA.1 (Modena, Pfizer)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20"/>
                                <w:cs/>
                                <w:rtl w:val="off"/>
                              </w:rPr>
                              <w:t xml:space="preserve">ອີງໃສ່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  <w:t>BA.4/5 (Pfizer)</w:t>
                            </w:r>
                          </w:p>
                          <w:p>
                            <w:pPr>
                              <w:jc w:val="center"/>
                              <w:rPr>
                                <w:lang w:eastAsia="ko-KR"/>
                                <w:rFonts w:hint="eastAsia"/>
                                <w:rtl w:val="off"/>
                              </w:rPr>
                            </w:pPr>
                            <w:r>
                              <w:rPr/>
                              <w:t xml:space="preserve">※ </w:t>
                            </w:r>
                            <w:r>
                              <w:rPr>
                                <w:cs/>
                                <w:rtl w:val="off"/>
                              </w:rPr>
                              <w:t>ວັກຊີນປະສົມ (</w:t>
                            </w:r>
                            <w:r>
                              <w:rPr/>
                              <w:t xml:space="preserve">NovaVax, Skycobi One) 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함초롬돋움" w:eastAsia="함초롬돋움" w:cs="함초롬돋움"/>
                                <w:sz w:val="18"/>
                                <w:szCs w:val="18"/>
                                <w:spacing w:val="-8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ຍັງຖືກໃຊ້ເປັນຢາວັກຊິນເສີມ</w:t>
                            </w:r>
                          </w:p>
                        </w:txbxContent>
                      </v:textbox>
                      <v:stroke joinstyle="round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9"/>
              <w:rPr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behindDoc="0" locked="0" layoutInCell="1" simplePos="0" relativeHeight="251655680" allowOverlap="1" hidden="0">
                      <wp:simplePos x="0" y="0"/>
                      <wp:positionH relativeFrom="column">
                        <wp:posOffset>1491615</wp:posOffset>
                      </wp:positionH>
                      <wp:positionV relativeFrom="paragraph">
                        <wp:posOffset>146050</wp:posOffset>
                      </wp:positionV>
                      <wp:extent cx="2291715" cy="333375"/>
                      <wp:effectExtent l="2095" t="2095" r="2095" b="2095"/>
                      <wp:wrapNone/>
                      <wp:docPr id="1031" name="shape1031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 xmlns="http://schemas.openxmlformats.org/drawingml/2006/main">
                                  <a:gd name="adj1" fmla="val 0"/>
                                  <a:gd name="adj2" fmla="val 2147483647"/>
                                  <a:gd name="adj3" fmla="val 0"/>
                                </a:avLst>
                                <a:gdLst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lnTo>
                                      <a:pt x="0" y="1312"/>
                                    </a:ln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lnTo>
                                      <a:pt x="13924" y="1312"/>
                                    </a:ln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ວິທີສະມັກສັກວັກຊີນ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style="position:absolute;margin-left:117.45pt;margin-top:11.5pt;width:180.45pt;height:26.25pt;mso-position-horizontal-relative:column;mso-position-vertical-relative:line;v-text-anchor:middle;mso-wrap-style:square;z-index:251655680" coordsize="13924, 2624" o:allowincell="t" path="m1312,0c656,0,0,655,0,1312l0,1312c0,1969,656,2624,1312,2624l12612,2624c13269,2624,13924,1969,13924,1312l13924,1312c13924,655,13269,0,12612,0xe" filled="t" fillcolor="#ffffff" stroked="t" strokecolor="#0" strokeweight="0.33pt" adj="">
                      <v:textbox inset="1.0mm,1.0mm,1.0mm,1.0mm">
                        <w:txbxContent>
                          <w:p>
                            <w:pPr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ວິທີສະມັກສັກວັກຊີນ</w:t>
                            </w:r>
                          </w:p>
                        </w:txbxContent>
                      </v:textbox>
                      <v:stroke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76200" distL="114300" distR="76200" behindDoc="0" locked="0" layoutInCell="1" simplePos="0" relativeHeight="251654656" allowOverlap="1" hidden="0">
                      <wp:simplePos x="0" y="0"/>
                      <wp:positionH relativeFrom="column">
                        <wp:posOffset>955676</wp:posOffset>
                      </wp:positionH>
                      <wp:positionV relativeFrom="paragraph">
                        <wp:posOffset>252095</wp:posOffset>
                      </wp:positionV>
                      <wp:extent cx="3247390" cy="2822575"/>
                      <wp:effectExtent l="2159" t="2159" r="2158" b="2158"/>
                      <wp:wrapNone/>
                      <wp:docPr id="1032" name="shape1032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47390" cy="2822575"/>
                              </a:xfrm>
                              <a:custGeom>
                                <a:avLst xmlns="http://schemas.openxmlformats.org/drawingml/2006/main">
                                  <a:gd name="adj1" fmla="val 0"/>
                                  <a:gd name="adj2" fmla="val 2147483647"/>
                                  <a:gd name="adj3" fmla="val 0"/>
                                </a:avLst>
                                <a:gdLst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/>
                                    <w:t xml:space="preserve">○ </w:t>
                                  </w:r>
                                  <w:r>
                                    <w:rPr>
                                      <w:cs/>
                                      <w:rtl w:val="off"/>
                                    </w:rPr>
                                    <w:t xml:space="preserve">ການລົງທະບຽນຂອງຄົນຕ່າງປະເທດ: ການຈອງລ່ວງໜ້າທາງອອນລາຍ,ການຈອງທາງໂທລະສັບ, </w:t>
                                  </w: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ແລະການເຂົຶ້າໄປສັກຢາວັກຊິນໃນມືຶ້ດຽວກັນ.</w:t>
                                  </w: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※ ການຈອງລ່ວງໜ້າ ວັນທີ27 ຕຸລາ (ວັນພະຫັດ) ~</w:t>
                                  </w: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8"/>
                                      <w:cs/>
                                      <w:rtl w:val="off"/>
                                    </w:rPr>
                                    <w:t>ການເລີີ່ມສັກຢາວັກຊິນ(ການເຂົາໄປສັກຢາວັກຊິນໃນມືຶ້ດຽວກັນ) ເດືອນ</w:t>
                                  </w: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ພະຈິກ 7 (ວັນຈັນ) ~</w:t>
                                  </w: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 xml:space="preserve">○ ຄົນຕ່າງປະເທດທີີ່ບໍໍ່ມີເອກະສານ: </w:t>
                                  </w: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 xml:space="preserve">ພາຍຫ ັງອອກເລກຄຸ້ມຄອງຊົົ່ວຄາວຢູ່ສູນສາທາລະນະສຸກ, </w:t>
                                  </w: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ໃຫ້ຈອງທາງໂທລະສັບ ຫ ືເຂົຶ້າໄປທີີ່ສະຖາບັນສັກຢາວັກຊິນ.○ຄົນຕ່າງປະເທດທີີ່ສໍາເລັດການສັກຢາວັກຊີນຂັຶ້ນພືຶ້ນຖານ</w:t>
                                  </w: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  <w:t>ຢູ່ຕ່າງປະເທດ:ຈອງການສັກຢາໄດ້ຫັງຈາກລົງທະບຽນປະຫວັດການ</w:t>
                                  </w:r>
                                </w:p>
                                <w:p>
                                  <w:pPr>
                                    <w:rPr>
                                      <w:rFonts w:ascii="함초롬돋움" w:eastAsia="함초롬돋움" w:cs="함초롬돋움"/>
                                      <w:sz w:val="22"/>
                                      <w:szCs w:val="22"/>
                                      <w:spacing w:val="-19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ສັກຢາຢູ່ຕ່າງປະເທດຢູ່ສູນສາທາລະນະສຸກ.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style="position:absolute;margin-left:75.2501pt;margin-top:19.85pt;width:255.7pt;height:222.25pt;mso-position-horizontal-relative:column;mso-position-vertical-relative:line;v-text-anchor:middle;mso-wrap-style:square;z-index:251654656" coordsize="20814, 18708" o:allowincell="t" path="m3740,0c748,0,0,747,0,3740l0,14967c0,17961,748,18708,3740,18708l17073,18708c20067,18708,20814,17961,20814,14967l20814,3740c20814,747,20067,0,17073,0xe" filled="t" fillcolor="#ffffff" stroked="t" strokecolor="#0" strokeweight="0.34pt" adj="">
                      <v:textbox inset="1.0mm,1.0mm,1.0mm,1.0mm">
                        <w:txbxContent>
                          <w:p>
                            <w:pPr>
                              <w:pStyle w:val="a9"/>
                              <w:wordWrap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/>
                              <w:t xml:space="preserve">○ </w:t>
                            </w:r>
                            <w:r>
                              <w:rPr>
                                <w:cs/>
                                <w:rtl w:val="off"/>
                              </w:rPr>
                              <w:t xml:space="preserve">ການລົງທະບຽນຂອງຄົນຕ່າງປະເທດ: ການຈອງລ່ວງໜ້າທາງອອນລາຍ,ການຈອງທາງໂທລະສັບ, </w:t>
                            </w: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ແລະການເຂົຶ້າໄປສັກຢາວັກຊິນໃນມືຶ້ດຽວກັນ.</w:t>
                            </w: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※ ການຈອງລ່ວງໜ້າ ວັນທີ27 ຕຸລາ (ວັນພະຫັດ) ~</w:t>
                            </w: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  <w:cs/>
                                <w:rtl w:val="off"/>
                              </w:rPr>
                              <w:t>ການເລີີ່ມສັກຢາວັກຊິນ(ການເຂົາໄປສັກຢາວັກຊິນໃນມືຶ້ດຽວກັນ) ເດືອນ</w:t>
                            </w: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ພະຈິກ 7 (ວັນຈັນ) ~</w:t>
                            </w: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 xml:space="preserve">○ ຄົນຕ່າງປະເທດທີີ່ບໍໍ່ມີເອກະສານ: </w:t>
                            </w: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 xml:space="preserve">ພາຍຫ ັງອອກເລກຄຸ້ມຄອງຊົົ່ວຄາວຢູ່ສູນສາທາລະນະສຸກ, </w:t>
                            </w: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ໃຫ້ຈອງທາງໂທລະສັບ ຫ ືເຂົຶ້າໄປທີີ່ສະຖາບັນສັກຢາວັກຊິນ.○ຄົນຕ່າງປະເທດທີີ່ສໍາເລັດການສັກຢາວັກຊີນຂັຶ້ນພືຶ້ນຖານ</w:t>
                            </w: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  <w:cs/>
                                <w:rtl w:val="off"/>
                              </w:rPr>
                              <w:t>ຢູ່ຕ່າງປະເທດ:ຈອງການສັກຢາໄດ້ຫັງຈາກລົງທະບຽນປະຫວັດການ</w:t>
                            </w:r>
                          </w:p>
                          <w:p>
                            <w:pPr>
                              <w:rPr>
                                <w:rFonts w:ascii="함초롬돋움" w:eastAsia="함초롬돋움" w:cs="함초롬돋움"/>
                                <w:sz w:val="22"/>
                                <w:szCs w:val="22"/>
                                <w:spacing w:val="-19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ສັກຢາຢູ່ຕ່າງປະເທດຢູ່ສູນສາທາລະນະສຸກ.</w:t>
                            </w:r>
                          </w:p>
                        </w:txbxContent>
                      </v:textbox>
                      <v:stroke joinstyle="round"/>
                    </v:shape>
                  </w:pict>
                </mc:Fallback>
              </mc:AlternateContent>
            </w:r>
          </w:p>
        </w:tc>
      </w:tr>
      <w:tr>
        <w:trPr>
          <w:trHeight w:val="2633" w:hRule="atLeast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9"/>
              <w:rPr>
                <w:sz w:val="24"/>
                <w:szCs w:val="24"/>
              </w:rPr>
            </w:pPr>
          </w:p>
          <w:p>
            <w:pPr>
              <w:pStyle w:val="a9"/>
              <w:rPr>
                <w:sz w:val="24"/>
                <w:szCs w:val="24"/>
              </w:rPr>
            </w:pPr>
          </w:p>
          <w:p>
            <w:pPr>
              <w:pStyle w:val="a9"/>
              <w:rPr>
                <w:sz w:val="24"/>
                <w:szCs w:val="24"/>
              </w:rPr>
            </w:pPr>
          </w:p>
          <w:p>
            <w:pPr>
              <w:pStyle w:val="a9"/>
              <w:rPr>
                <w:sz w:val="24"/>
                <w:szCs w:val="24"/>
              </w:rPr>
            </w:pPr>
          </w:p>
          <w:p>
            <w:pPr>
              <w:pStyle w:val="a9"/>
              <w:rPr>
                <w:sz w:val="24"/>
                <w:szCs w:val="24"/>
              </w:rPr>
            </w:pPr>
          </w:p>
          <w:p>
            <w:pPr>
              <w:pStyle w:val="a9"/>
              <w:rPr>
                <w:sz w:val="24"/>
                <w:szCs w:val="24"/>
              </w:rPr>
            </w:pPr>
          </w:p>
          <w:p>
            <w:pPr>
              <w:pStyle w:val="a9"/>
              <w:rPr>
                <w:sz w:val="24"/>
                <w:szCs w:val="24"/>
              </w:rPr>
            </w:pPr>
          </w:p>
          <w:p>
            <w:pPr>
              <w:pStyle w:val="a9"/>
              <w:rPr>
                <w:sz w:val="24"/>
                <w:szCs w:val="24"/>
              </w:rPr>
            </w:pPr>
          </w:p>
          <w:p>
            <w:pPr>
              <w:pStyle w:val="a9"/>
              <w:rPr>
                <w:sz w:val="24"/>
                <w:szCs w:val="24"/>
              </w:rPr>
            </w:pPr>
          </w:p>
          <w:p>
            <w:pPr>
              <w:pStyle w:val="a9"/>
              <w:rPr>
                <w:sz w:val="24"/>
                <w:szCs w:val="24"/>
              </w:rPr>
            </w:pPr>
          </w:p>
          <w:p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</w:rPr>
              <mc:AlternateContent>
                <mc:Choice Requires="wps">
                  <w:drawing>
                    <wp:anchor distT="0" distB="76200" distL="114300" distR="76200" behindDoc="0" locked="0" layoutInCell="1" simplePos="0" relativeHeight="251653632" allowOverlap="1" hidden="0">
                      <wp:simplePos x="0" y="0"/>
                      <wp:positionH relativeFrom="page">
                        <wp:posOffset>139700</wp:posOffset>
                      </wp:positionH>
                      <wp:positionV relativeFrom="page">
                        <wp:posOffset>864235</wp:posOffset>
                      </wp:positionV>
                      <wp:extent cx="6545580" cy="1469390"/>
                      <wp:effectExtent l="2095" t="2095" r="2095" b="2095"/>
                      <wp:wrapNone/>
                      <wp:docPr id="1033" name="shape1033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545580" cy="1469390"/>
                              </a:xfrm>
                              <a:custGeom>
                                <a:avLst xmlns="http://schemas.openxmlformats.org/drawingml/2006/main">
                                  <a:gd name="adj1" fmla="val 0"/>
                                  <a:gd name="adj2" fmla="val 2147483647"/>
                                  <a:gd name="adj3" fmla="val 0"/>
                                </a:avLst>
                                <a:gdLst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/>
                                    <w:t xml:space="preserve">※ </w:t>
                                  </w: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ຂໍໍ້ມູນອ ີ່ນໆເພີີ່ມຕືີ່ມ</w:t>
                                  </w: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 xml:space="preserve">○ ສາມາດຈອງທາງອອນລາຍໄດ້ຕາມທີີ່ຢູ່ນີຶ້: </w:t>
                                  </w:r>
                                  <w:r>
                                    <w:rPr/>
                                    <w:fldChar w:fldCharType="begin"/>
                                  </w:r>
                                  <w:r>
                                    <w:rPr/>
                                    <w:instrText xml:space="preserve"> HYPERLINK "https://ncvr.kdca.go.kr" </w:instrText>
                                  </w:r>
                                  <w:r>
                                    <w:rPr/>
                                    <w:fldChar w:fldCharType="separate"/>
                                  </w:r>
                                  <w:r>
                                    <w:rPr>
                                      <w:rStyle w:val="a6"/>
                                      <w:rFonts w:ascii="맑은 고딕" w:eastAsia="맑은 고딕" w:hAnsi="맑은 고딕" w:cs="Arial"/>
                                    </w:rPr>
                                    <w:t>https://ncvr.kdca.go.kr</w:t>
                                  </w:r>
                                  <w:r>
                                    <w:rPr/>
                                    <w:fldChar w:fldCharType="end"/>
                                  </w:r>
                                </w:p>
                                <w:p>
                                  <w:pPr>
                                    <w:jc w:val="both"/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 xml:space="preserve">○ </w:t>
                                  </w:r>
                                  <w:r>
                                    <w:rPr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  <w:t>ການຈອງທາງໂທລະສັບ: ກະລຸນາໂທຫາ ສູນຄວບຄຸມ ແລະ ປ້ອງກັນພະຍາດເກົາຫ ີ(</w:t>
                                  </w: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 xml:space="preserve">KDCA) (☎1339) </w:t>
                                  </w:r>
                                  <w:r>
                                    <w:rPr>
                                      <w:sz w:val="18"/>
                                      <w:szCs w:val="20"/>
                                      <w:cs/>
                                      <w:rtl w:val="off"/>
                                    </w:rPr>
                                    <w:t>ຫ ືສູນກາງໂທລະສັບ</w:t>
                                  </w:r>
                                </w:p>
                                <w:p>
                                  <w:pPr>
                                    <w:rPr>
                                      <w:lang w:eastAsia="ko-KR"/>
                                      <w:rFonts w:hint="eastAsia"/>
                                      <w:cs/>
                                      <w:rtl w:val="off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>ລັດຖະບານທ້ອງຖິີ່ນຂອງທ່ານ.</w:t>
                                  </w:r>
                                </w:p>
                                <w:p>
                                  <w:pPr>
                                    <w:rPr>
                                      <w:rFonts w:ascii="함초롬돋움" w:eastAsia="함초롬돋움" w:cs="함초롬돋움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s/>
                                      <w:rtl w:val="off"/>
                                    </w:rPr>
                                    <w:t xml:space="preserve">○ ການສັກວັກຊິນໃນມືຶ້ດຽວກັນ: ການຈອງວັກຊີນທີີ່ຕົກຄ້າງຢູ່ໃນ </w:t>
                                  </w:r>
                                  <w:r>
                                    <w:rPr/>
                                    <w:t xml:space="preserve">SNS (KakaoTalk, Naver), </w:t>
                                  </w:r>
                                  <w:r>
                                    <w:rPr>
                                      <w:cs/>
                                      <w:rtl w:val="off"/>
                                    </w:rPr>
                                    <w:t>ໂທຫາສະຖາບັນການແພດ.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style="position:absolute;margin-left:11pt;margin-top:68.05pt;width:515.4pt;height:115.7pt;mso-position-horizontal-relative:page;mso-position-vertical-relative:page;v-text-anchor:middle;mso-wrap-style:square;z-index:251653632" coordsize="42241, 12248" o:allowincell="t" path="m2448,0c489,0,0,490,0,2448l0,9799c0,11758,489,12248,2448,12248l39792,12248c41753,12248,42241,11758,42241,9799l42241,2448c42241,490,41753,0,39792,0xe" filled="t" fillcolor="#ffffff" stroked="t" strokecolor="#0" strokeweight="0.33pt" adj="">
                      <v:textbox inset="1.0mm,1.0mm,1.0mm,1.0mm">
                        <w:txbxContent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/>
                              <w:t xml:space="preserve">※ </w:t>
                            </w:r>
                            <w:r>
                              <w:rPr>
                                <w:cs/>
                                <w:rtl w:val="off"/>
                              </w:rPr>
                              <w:t>ຂໍໍ້ມູນອ ີ່ນໆເພີີ່ມຕືີ່ມ</w:t>
                            </w: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 xml:space="preserve">○ ສາມາດຈອງທາງອອນລາຍໄດ້ຕາມທີີ່ຢູ່ນີຶ້: </w:t>
                            </w:r>
                            <w:r>
                              <w:rPr/>
                              <w:fldChar w:fldCharType="begin"/>
                            </w:r>
                            <w:r>
                              <w:rPr/>
                              <w:instrText xml:space="preserve"> HYPERLINK "https://ncvr.kdca.go.kr" </w:instrText>
                            </w:r>
                            <w:r>
                              <w:rPr/>
                              <w:fldChar w:fldCharType="separate"/>
                            </w:r>
                            <w:r>
                              <w:rPr>
                                <w:rStyle w:val="a6"/>
                                <w:rFonts w:ascii="맑은 고딕" w:eastAsia="맑은 고딕" w:hAnsi="맑은 고딕" w:cs="Arial"/>
                              </w:rPr>
                              <w:t>https://ncvr.kdca.go.kr</w:t>
                            </w:r>
                            <w:r>
                              <w:rPr/>
                              <w:fldChar w:fldCharType="end"/>
                            </w:r>
                          </w:p>
                          <w:p>
                            <w:pPr>
                              <w:jc w:val="both"/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 xml:space="preserve">○ </w:t>
                            </w:r>
                            <w:r>
                              <w:rPr>
                                <w:sz w:val="18"/>
                                <w:szCs w:val="20"/>
                                <w:cs/>
                                <w:rtl w:val="off"/>
                              </w:rPr>
                              <w:t>ການຈອງທາງໂທລະສັບ: ກະລຸນາໂທຫາ ສູນຄວບຄຸມ ແລະ ປ້ອງກັນພະຍາດເກົາຫ ີ(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KDCA) (☎1339) </w:t>
                            </w:r>
                            <w:r>
                              <w:rPr>
                                <w:sz w:val="18"/>
                                <w:szCs w:val="20"/>
                                <w:cs/>
                                <w:rtl w:val="off"/>
                              </w:rPr>
                              <w:t>ຫ ືສູນກາງໂທລະສັບ</w:t>
                            </w:r>
                          </w:p>
                          <w:p>
                            <w:pPr>
                              <w:rPr>
                                <w:lang w:eastAsia="ko-KR"/>
                                <w:rFonts w:hint="eastAsia"/>
                                <w:cs/>
                                <w:rtl w:val="off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>ລັດຖະບານທ້ອງຖິີ່ນຂອງທ່ານ.</w:t>
                            </w:r>
                          </w:p>
                          <w:p>
                            <w:pPr>
                              <w:rPr>
                                <w:rFonts w:ascii="함초롬돋움" w:eastAsia="함초롬돋움" w:cs="함초롬돋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s/>
                                <w:rtl w:val="off"/>
                              </w:rPr>
                              <w:t xml:space="preserve">○ ການສັກວັກຊິນໃນມືຶ້ດຽວກັນ: ການຈອງວັກຊີນທີີ່ຕົກຄ້າງຢູ່ໃນ </w:t>
                            </w:r>
                            <w:r>
                              <w:rPr/>
                              <w:t xml:space="preserve">SNS (KakaoTalk, Naver), </w:t>
                            </w:r>
                            <w:r>
                              <w:rPr>
                                <w:cs/>
                                <w:rtl w:val="off"/>
                              </w:rPr>
                              <w:t>ໂທຫາສະຖາບັນການແພດ.</w:t>
                            </w:r>
                          </w:p>
                        </w:txbxContent>
                      </v:textbox>
                      <v:stroke/>
                    </v:shape>
                  </w:pict>
                </mc:Fallback>
              </mc:AlternateContent>
            </w:r>
            <w:r>
              <w:rPr>
                <w:cs/>
                <w:rtl w:val="off"/>
              </w:rPr>
              <w:t xml:space="preserve">ການຊ່ວຍເຫ ືອການແປພາສາ: &lt; </w:t>
            </w:r>
            <w:r>
              <w:rPr/>
              <w:t xml:space="preserve">Danuri Call Center 1577-1366&gt;, </w:t>
            </w:r>
            <w:r>
              <w:rPr>
                <w:cs/>
                <w:rtl w:val="off"/>
              </w:rPr>
              <w:t>ເປີດ 24 ຊົົ່ວໂມງ,365ວັນ</w:t>
            </w:r>
          </w:p>
        </w:tc>
      </w:tr>
    </w:tbl>
    <w:p>
      <w:pPr>
        <w:rPr>
          <w:sz w:val="2"/>
        </w:rPr>
      </w:pPr>
      <w:r>
        <w:rPr>
          <w:rFonts w:hint="eastAsia"/>
          <w:sz w:val="2"/>
        </w:rPr>
        <w:t>ㅇ</w:t>
      </w:r>
    </w:p>
    <w:sectPr>
      <w:pgSz w:w="11905" w:h="16837"/>
      <w:pgMar w:top="720" w:right="720" w:bottom="720" w:left="720" w:header="1133" w:footer="850" w:gutter="0"/>
      <w:cols w:space="720"/>
      <w:docGrid w:linePitch="272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Phetsarath OT">
    <w:panose1 w:val="02000500000000020004"/>
    <w:notTrueType w:val="false"/>
    <w:sig w:usb0="820000AF" w:usb1="0000200A" w:usb2="00000001" w:usb3="00000001" w:csb0="600101FF" w:csb1="20280000"/>
  </w:font>
  <w:font w:name="HY견고딕">
    <w:panose1 w:val="02030600000101010101"/>
    <w:family w:val="roman"/>
    <w:charset w:val="81"/>
    <w:notTrueType w:val="false"/>
    <w:sig w:usb0="900002A7" w:usb1="29D77CF9" w:usb2="00000010" w:usb3="00000001" w:csb0="00080000" w:csb1="00000001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  <w:font w:name="맑은 고딕">
    <w:panose1 w:val="020B0503020000020004"/>
    <w:notTrueType w:val="false"/>
    <w:sig w:usb0="9000002F" w:usb1="29D77CFB" w:usb2="00000012" w:usb3="00000001" w:csb0="00080001" w:csb1="00000001"/>
  </w:font>
  <w:font w:name="Arial">
    <w:panose1 w:val="020B0604020202020204"/>
    <w:notTrueType w:val="false"/>
    <w:sig w:usb0="E0002EFF" w:usb1="C000785B" w:usb2="00000009" w:usb3="00000001" w:csb0="400001FF" w:csb1="FFFF0000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Arial Unicode MS">
    <w:panose1 w:val="020B0604020202020204"/>
    <w:family w:val="roman"/>
    <w:charset w:val="00"/>
    <w:notTrueType w:val="false"/>
    <w:sig w:usb0="FFFFFFFF" w:usb1="E9FFFFFF" w:usb2="0000003F" w:usb3="00000001" w:csb0="603F01FF" w:csb1="FFFF0000"/>
  </w:font>
  <w:font w:name="Wingdings">
    <w:panose1 w:val="05000000000000000000"/>
    <w:family w:val="auto"/>
    <w:charset w:val="02"/>
    <w:notTrueType w:val="false"/>
    <w:sig w:usb0="00000001" w:usb1="00000001" w:usb2="00000001" w:usb3="00000001" w:csb0="80000000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54b7334c"/>
    <w:multiLevelType w:val="multilevel"/>
    <w:tmpl w:val="536ef48c"/>
    <w:lvl w:ilvl="0">
      <w:start w:val="1"/>
      <w:lvlText w:val="%1."/>
      <w:lvlJc w:val="left"/>
      <w:pStyle w:val="1"/>
      <w:suff w:val="space"/>
      <w:pPr>
        <w:ind w:left="0" w:firstLine="0"/>
      </w:pPr>
    </w:lvl>
    <w:lvl w:ilvl="1">
      <w:start w:val="1"/>
      <w:numFmt w:val="ganada"/>
      <w:lvlText w:val="%2."/>
      <w:lvlJc w:val="left"/>
      <w:pStyle w:val="2"/>
      <w:suff w:val="space"/>
      <w:pPr>
        <w:ind w:left="0" w:firstLine="0"/>
      </w:pPr>
    </w:lvl>
    <w:lvl w:ilvl="2">
      <w:start w:val="1"/>
      <w:lvlText w:val="%3)"/>
      <w:lvlJc w:val="left"/>
      <w:pStyle w:val="3"/>
      <w:suff w:val="space"/>
      <w:pPr>
        <w:ind w:left="0" w:firstLine="0"/>
      </w:pPr>
    </w:lvl>
    <w:lvl w:ilvl="3">
      <w:start w:val="1"/>
      <w:numFmt w:val="ganada"/>
      <w:lvlText w:val="%4)"/>
      <w:lvlJc w:val="left"/>
      <w:pStyle w:val="4"/>
      <w:suff w:val="space"/>
      <w:pPr>
        <w:ind w:left="0" w:firstLine="0"/>
      </w:pPr>
    </w:lvl>
    <w:lvl w:ilvl="4">
      <w:start w:val="1"/>
      <w:lvlText w:val="(%5)"/>
      <w:lvlJc w:val="left"/>
      <w:pStyle w:val="5"/>
      <w:suff w:val="space"/>
      <w:pPr>
        <w:ind w:left="0" w:firstLine="0"/>
      </w:pPr>
    </w:lvl>
    <w:lvl w:ilvl="5">
      <w:start w:val="1"/>
      <w:numFmt w:val="ganada"/>
      <w:lvlText w:val="(%6)"/>
      <w:lvlJc w:val="left"/>
      <w:pStyle w:val="6"/>
      <w:suff w:val="space"/>
      <w:pPr>
        <w:ind w:left="0" w:firstLine="0"/>
      </w:pPr>
    </w:lvl>
    <w:lvl w:ilvl="6">
      <w:start w:val="1"/>
      <w:numFmt w:val="decimalEnclosedCircle"/>
      <w:lvlText w:val="%7"/>
      <w:lvlJc w:val="left"/>
      <w:pStyle w:val="7"/>
      <w:suff w:val="space"/>
      <w:pPr>
        <w:ind w:left="0" w:firstLine="0"/>
      </w:pPr>
    </w:lvl>
    <w:lvl w:ilvl="7">
      <w:lvlJc w:val="left"/>
    </w:lvl>
    <w:lvl w:ilvl="8">
      <w:lvlJc w:val="left"/>
    </w:lvl>
  </w:abstractNum>
  <w:abstractNum w:abstractNumId="1">
    <w:nsid w:val="ffffff89"/>
    <w:multiLevelType w:val="singleLevel"/>
    <w:tmpl w:val="5f70a806"/>
    <w:lvl w:ilvl="0">
      <w:start w:val="1"/>
      <w:numFmt w:val="bullet"/>
      <w:lvlText w:val=""/>
      <w:lvlJc w:val="left"/>
      <w:pStyle w:val="a"/>
      <w:pPr>
        <w:ind w:leftChars="200" w:left="361" w:hangingChars="200" w:hanging="360"/>
        <w:tabs>
          <w:tab w:val="num" w:pos="361"/>
        </w:tabs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isplayBackgroundShape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7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3" w:qFormat="1"/>
    <w:lsdException w:name="Closing" w:semiHidden="1" w:unhideWhenUsed="1"/>
    <w:lsdException w:name="Signature" w:semiHidden="1" w:unhideWhenUsed="1"/>
    <w:lsdException w:name="Default Paragraph Font" w:uiPriority="22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3" w:qFormat="1"/>
    <w:lsdException w:name="Emphasis" w:uiPriority="5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0" w:qFormat="1"/>
    <w:lsdException w:name="Table Theme" w:semiHidden="1" w:unhideWhenUsed="1"/>
    <w:lsdException w:name="Placeholder Text" w:uiPriority="137"/>
    <w:lsdException w:name="No Spacing" w:semiHidden="1"/>
    <w:lsdException w:name="Light Shading" w:uiPriority="1" w:qFormat="1"/>
    <w:lsdException w:name="Light List" w:uiPriority="150"/>
    <w:lsdException w:name="Light Grid" w:uiPriority="151"/>
    <w:lsdException w:name="Medium Shading 1" w:uiPriority="152"/>
    <w:lsdException w:name="Medium Shading 2" w:uiPriority="153"/>
    <w:lsdException w:name="Medium List 1" w:uiPriority="256"/>
    <w:lsdException w:name="Medium List 2" w:uiPriority="257"/>
    <w:lsdException w:name="Medium Grid 1" w:uiPriority="258"/>
    <w:lsdException w:name="Medium Grid 2" w:uiPriority="259"/>
    <w:lsdException w:name="Medium Grid 3" w:uiPriority="260"/>
    <w:lsdException w:name="Dark List" w:uiPriority="261"/>
    <w:lsdException w:name="Colorful Shading" w:uiPriority="274"/>
    <w:lsdException w:name="Colorful List" w:uiPriority="275"/>
    <w:lsdException w:name="Colorful Grid" w:uiPriority="276"/>
    <w:lsdException w:name="Light Shading Accent 1" w:uiPriority="277"/>
    <w:lsdException w:name="Light List Accent 1" w:uiPriority="150"/>
    <w:lsdException w:name="Light Grid Accent 1" w:uiPriority="151"/>
    <w:lsdException w:name="Medium Shading 1 Accent 1" w:uiPriority="152"/>
    <w:lsdException w:name="Medium Shading 2 Accent 1" w:uiPriority="153"/>
    <w:lsdException w:name="Medium List 1 Accent 1" w:uiPriority="256"/>
    <w:lsdException w:name="Revision" w:uiPriority="257"/>
    <w:lsdException w:name="Quote" w:uiPriority="82" w:qFormat="1"/>
    <w:lsdException w:name="Intense Quote" w:uiPriority="65" w:qFormat="1"/>
    <w:lsdException w:name="Medium List 2 Accent 1" w:uiPriority="72" w:qFormat="1"/>
    <w:lsdException w:name="Medium Grid 1 Accent 1" w:uiPriority="258"/>
    <w:lsdException w:name="Medium Grid 2 Accent 1" w:uiPriority="259"/>
    <w:lsdException w:name="Medium Grid 3 Accent 1" w:uiPriority="260"/>
    <w:lsdException w:name="Dark List Accent 1" w:uiPriority="261"/>
    <w:lsdException w:name="Colorful Shading Accent 1" w:uiPriority="274"/>
    <w:lsdException w:name="Colorful List Accent 1" w:uiPriority="275"/>
    <w:lsdException w:name="Colorful Grid Accent 1" w:uiPriority="276"/>
    <w:lsdException w:name="Light Shading Accent 2" w:uiPriority="277"/>
    <w:lsdException w:name="Light List Accent 2" w:uiPriority="150"/>
    <w:lsdException w:name="Light Grid Accent 2" w:uiPriority="151"/>
    <w:lsdException w:name="Medium Shading 1 Accent 2" w:uiPriority="152"/>
    <w:lsdException w:name="Medium Shading 2 Accent 2" w:uiPriority="153"/>
    <w:lsdException w:name="Medium List 1 Accent 2" w:uiPriority="256"/>
    <w:lsdException w:name="Medium List 2 Accent 2" w:uiPriority="257"/>
    <w:lsdException w:name="Medium Grid 1 Accent 2" w:uiPriority="258"/>
    <w:lsdException w:name="Medium Grid 2 Accent 2" w:uiPriority="259"/>
    <w:lsdException w:name="Medium Grid 3 Accent 2" w:uiPriority="260"/>
    <w:lsdException w:name="Dark List Accent 2" w:uiPriority="261"/>
    <w:lsdException w:name="Colorful Shading Accent 2" w:uiPriority="274"/>
    <w:lsdException w:name="Colorful List Accent 2" w:uiPriority="275"/>
    <w:lsdException w:name="Colorful Grid Accent 2" w:uiPriority="276"/>
    <w:lsdException w:name="Light Shading Accent 3" w:uiPriority="277"/>
    <w:lsdException w:name="Light List Accent 3" w:uiPriority="150"/>
    <w:lsdException w:name="Light Grid Accent 3" w:uiPriority="151"/>
    <w:lsdException w:name="Medium Shading 1 Accent 3" w:uiPriority="152"/>
    <w:lsdException w:name="Medium Shading 2 Accent 3" w:uiPriority="153"/>
    <w:lsdException w:name="Medium List 1 Accent 3" w:uiPriority="256"/>
    <w:lsdException w:name="Medium List 2 Accent 3" w:uiPriority="257"/>
    <w:lsdException w:name="Medium Grid 1 Accent 3" w:uiPriority="258"/>
    <w:lsdException w:name="Medium Grid 2 Accent 3" w:uiPriority="259"/>
    <w:lsdException w:name="Medium Grid 3 Accent 3" w:uiPriority="260"/>
    <w:lsdException w:name="Dark List Accent 3" w:uiPriority="261"/>
    <w:lsdException w:name="Colorful Shading Accent 3" w:uiPriority="274"/>
    <w:lsdException w:name="Colorful List Accent 3" w:uiPriority="275"/>
    <w:lsdException w:name="Colorful Grid Accent 3" w:uiPriority="276"/>
    <w:lsdException w:name="Light Shading Accent 4" w:uiPriority="277"/>
    <w:lsdException w:name="Light List Accent 4" w:uiPriority="150"/>
    <w:lsdException w:name="Light Grid Accent 4" w:uiPriority="151"/>
    <w:lsdException w:name="Medium Shading 1 Accent 4" w:uiPriority="152"/>
    <w:lsdException w:name="Medium Shading 2 Accent 4" w:uiPriority="153"/>
    <w:lsdException w:name="Medium List 1 Accent 4" w:uiPriority="256"/>
    <w:lsdException w:name="Medium List 2 Accent 4" w:uiPriority="257"/>
    <w:lsdException w:name="Medium Grid 1 Accent 4" w:uiPriority="258"/>
    <w:lsdException w:name="Medium Grid 2 Accent 4" w:uiPriority="259"/>
    <w:lsdException w:name="Medium Grid 3 Accent 4" w:uiPriority="260"/>
    <w:lsdException w:name="Dark List Accent 4" w:uiPriority="261"/>
    <w:lsdException w:name="Colorful Shading Accent 4" w:uiPriority="274"/>
    <w:lsdException w:name="Colorful List Accent 4" w:uiPriority="275"/>
    <w:lsdException w:name="Colorful Grid Accent 4" w:uiPriority="276"/>
    <w:lsdException w:name="Light Shading Accent 5" w:uiPriority="277"/>
    <w:lsdException w:name="Light List Accent 5" w:uiPriority="150"/>
    <w:lsdException w:name="Light Grid Accent 5" w:uiPriority="151"/>
    <w:lsdException w:name="Medium Shading 1 Accent 5" w:uiPriority="152"/>
    <w:lsdException w:name="Medium Shading 2 Accent 5" w:uiPriority="153"/>
    <w:lsdException w:name="Medium List 1 Accent 5" w:uiPriority="256"/>
    <w:lsdException w:name="Medium List 2 Accent 5" w:uiPriority="257"/>
    <w:lsdException w:name="Medium Grid 1 Accent 5" w:uiPriority="258"/>
    <w:lsdException w:name="Medium Grid 2 Accent 5" w:uiPriority="259"/>
    <w:lsdException w:name="Medium Grid 3 Accent 5" w:uiPriority="260"/>
    <w:lsdException w:name="Dark List Accent 5" w:uiPriority="261"/>
    <w:lsdException w:name="Colorful Shading Accent 5" w:uiPriority="274"/>
    <w:lsdException w:name="Colorful List Accent 5" w:uiPriority="275"/>
    <w:lsdException w:name="Colorful Grid Accent 5" w:uiPriority="276"/>
    <w:lsdException w:name="Light Shading Accent 6" w:uiPriority="277"/>
    <w:lsdException w:name="Light List Accent 6" w:uiPriority="150"/>
    <w:lsdException w:name="Light Grid Accent 6" w:uiPriority="151"/>
    <w:lsdException w:name="Medium Shading 1 Accent 6" w:uiPriority="152"/>
    <w:lsdException w:name="Medium Shading 2 Accent 6" w:uiPriority="153"/>
    <w:lsdException w:name="Medium List 1 Accent 6" w:uiPriority="256"/>
    <w:lsdException w:name="Medium List 2 Accent 6" w:uiPriority="257"/>
    <w:lsdException w:name="Medium Grid 1 Accent 6" w:uiPriority="258"/>
    <w:lsdException w:name="Medium Grid 2 Accent 6" w:uiPriority="259"/>
    <w:lsdException w:name="Medium Grid 3 Accent 6" w:uiPriority="260"/>
    <w:lsdException w:name="Dark List Accent 6" w:uiPriority="261"/>
    <w:lsdException w:name="Colorful Shading Accent 6" w:uiPriority="274"/>
    <w:lsdException w:name="Colorful List Accent 6" w:uiPriority="275"/>
    <w:lsdException w:name="Colorful Grid Accent 6" w:uiPriority="276"/>
    <w:lsdException w:name="Subtle Emphasis" w:uiPriority="277"/>
    <w:lsdException w:name="Intense Emphasis" w:uiPriority="37" w:qFormat="1"/>
    <w:lsdException w:name="Subtle Reference" w:uiPriority="51" w:qFormat="1"/>
    <w:lsdException w:name="Intense Reference" w:uiPriority="73" w:qFormat="1"/>
    <w:lsdException w:name="Book Title" w:uiPriority="80" w:qFormat="1"/>
    <w:lsdException w:name="Bibliography" w:uiPriority="81" w:qFormat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a0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uiPriority w:val="99"/>
    <w:basedOn w:val="a0"/>
    <w:link w:val="Char"/>
    <w:semiHidden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1"/>
    <w:link w:val="a4"/>
    <w:semiHidden/>
  </w:style>
  <w:style w:type="paragraph" w:styleId="a5">
    <w:name w:val="footer"/>
    <w:uiPriority w:val="99"/>
    <w:basedOn w:val="a0"/>
    <w:link w:val="Char0"/>
    <w:semiHidden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1"/>
    <w:link w:val="a5"/>
    <w:semiHidden/>
  </w:style>
  <w:style w:type="character" w:styleId="a6">
    <w:name w:val="Hyperlink"/>
    <w:uiPriority w:val="99"/>
    <w:basedOn w:val="a1"/>
    <w:unhideWhenUsed/>
    <w:rPr>
      <w:color w:val="0000FF"/>
      <w:u w:val="single" w:color="auto"/>
    </w:rPr>
  </w:style>
  <w:style w:type="character" w:styleId="a7">
    <w:name w:val="footnote reference"/>
    <w:uiPriority w:val="99"/>
    <w:basedOn w:val="a1"/>
    <w:semiHidden/>
    <w:unhideWhenUsed/>
    <w:rPr>
      <w:vertAlign w:val="superscript"/>
    </w:rPr>
  </w:style>
  <w:style w:type="character" w:styleId="a8">
    <w:name w:val="endnote reference"/>
    <w:uiPriority w:val="99"/>
    <w:basedOn w:val="a1"/>
    <w:semiHidden/>
    <w:unhideWhenUsed/>
    <w:rPr>
      <w:vertAlign w:val="superscript"/>
    </w:rPr>
  </w:style>
  <w:style w:type="paragraph" w:customStyle="1" w:styleId="a9">
    <w:name w:val="바탕글"/>
    <w:qFormat/>
    <w:pPr>
      <w:autoSpaceDE w:val="off"/>
      <w:autoSpaceDN w:val="off"/>
      <w:widowControl w:val="off"/>
      <w:wordWrap w:val="off"/>
      <w:jc w:val="both"/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ind w:left="300"/>
      <w:autoSpaceDE w:val="off"/>
      <w:autoSpaceDN w:val="off"/>
      <w:widowControl w:val="off"/>
      <w:wordWrap w:val="off"/>
      <w:jc w:val="both"/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ind w:left="200"/>
      <w:autoSpaceDE w:val="off"/>
      <w:autoSpaceDN w:val="off"/>
      <w:widowControl w:val="off"/>
      <w:wordWrap w:val="off"/>
      <w:jc w:val="both"/>
      <w:numPr>
        <w:ilvl w:val="0"/>
        <w:numId w:val="1"/>
      </w:numPr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ind w:left="400"/>
      <w:autoSpaceDE w:val="off"/>
      <w:autoSpaceDN w:val="off"/>
      <w:widowControl w:val="off"/>
      <w:wordWrap w:val="off"/>
      <w:jc w:val="both"/>
      <w:numPr>
        <w:ilvl w:val="1"/>
        <w:numId w:val="1"/>
      </w:numPr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ind w:left="600"/>
      <w:autoSpaceDE w:val="off"/>
      <w:autoSpaceDN w:val="off"/>
      <w:widowControl w:val="off"/>
      <w:wordWrap w:val="off"/>
      <w:jc w:val="both"/>
      <w:numPr>
        <w:ilvl w:val="2"/>
        <w:numId w:val="1"/>
      </w:numPr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ind w:left="800"/>
      <w:autoSpaceDE w:val="off"/>
      <w:autoSpaceDN w:val="off"/>
      <w:widowControl w:val="off"/>
      <w:wordWrap w:val="off"/>
      <w:jc w:val="both"/>
      <w:numPr>
        <w:ilvl w:val="3"/>
        <w:numId w:val="1"/>
      </w:numPr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ind w:left="1000"/>
      <w:autoSpaceDE w:val="off"/>
      <w:autoSpaceDN w:val="off"/>
      <w:widowControl w:val="off"/>
      <w:wordWrap w:val="off"/>
      <w:jc w:val="both"/>
      <w:numPr>
        <w:ilvl w:val="4"/>
        <w:numId w:val="1"/>
      </w:numPr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ind w:left="1200"/>
      <w:autoSpaceDE w:val="off"/>
      <w:autoSpaceDN w:val="off"/>
      <w:widowControl w:val="off"/>
      <w:wordWrap w:val="off"/>
      <w:jc w:val="both"/>
      <w:numPr>
        <w:ilvl w:val="5"/>
        <w:numId w:val="1"/>
      </w:numPr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ind w:left="1400"/>
      <w:autoSpaceDE w:val="off"/>
      <w:autoSpaceDN w:val="off"/>
      <w:widowControl w:val="off"/>
      <w:wordWrap w:val="off"/>
      <w:jc w:val="both"/>
      <w:numPr>
        <w:ilvl w:val="6"/>
        <w:numId w:val="1"/>
      </w:numPr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ind w:left="1600"/>
      <w:autoSpaceDE w:val="off"/>
      <w:autoSpaceDN w:val="off"/>
      <w:widowControl w:val="off"/>
      <w:wordWrap w:val="off"/>
      <w:jc w:val="both"/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ind w:left="1800"/>
      <w:autoSpaceDE w:val="off"/>
      <w:autoSpaceDN w:val="off"/>
      <w:widowControl w:val="off"/>
      <w:wordWrap w:val="off"/>
      <w:jc w:val="both"/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ind w:left="2000"/>
      <w:autoSpaceDE w:val="off"/>
      <w:autoSpaceDN w:val="off"/>
      <w:widowControl w:val="off"/>
      <w:wordWrap w:val="off"/>
      <w:jc w:val="both"/>
      <w:spacing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ac">
    <w:name w:val="머리말"/>
    <w:qFormat/>
    <w:pPr>
      <w:autoSpaceDE w:val="off"/>
      <w:autoSpaceDN w:val="off"/>
      <w:widowControl w:val="off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ind w:left="262" w:hanging="262"/>
      <w:autoSpaceDE w:val="off"/>
      <w:autoSpaceDN w:val="off"/>
      <w:widowControl w:val="off"/>
      <w:wordWrap w:val="off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ind w:left="262" w:hanging="262"/>
      <w:autoSpaceDE w:val="off"/>
      <w:autoSpaceDN w:val="off"/>
      <w:widowControl w:val="off"/>
      <w:wordWrap w:val="off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autoSpaceDE w:val="off"/>
      <w:autoSpaceDN w:val="off"/>
      <w:widowControl w:val="off"/>
    </w:pPr>
    <w:rPr>
      <w:rFonts w:ascii="함초롬돋움" w:eastAsia="함초롬돋움" w:hAnsi="Arial Unicode MS" w:cs="함초롬돋움"/>
      <w:color w:val="000000"/>
      <w:sz w:val="18"/>
      <w:szCs w:val="18"/>
      <w:spacing w:val="-4"/>
    </w:rPr>
  </w:style>
  <w:style w:type="paragraph" w:customStyle="1" w:styleId="af0">
    <w:name w:val="차례 제목"/>
    <w:qFormat/>
    <w:pPr>
      <w:autoSpaceDE w:val="off"/>
      <w:autoSpaceDN w:val="off"/>
      <w:widowControl w:val="off"/>
      <w:spacing w:after="60" w:before="24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autoSpaceDE w:val="off"/>
      <w:autoSpaceDN w:val="off"/>
      <w:widowControl w:val="off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ind w:left="220"/>
      <w:autoSpaceDE w:val="off"/>
      <w:autoSpaceDN w:val="off"/>
      <w:widowControl w:val="off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ind w:left="440"/>
      <w:autoSpaceDE w:val="off"/>
      <w:autoSpaceDN w:val="off"/>
      <w:widowControl w:val="off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autoSpaceDE w:val="off"/>
      <w:autoSpaceDN w:val="off"/>
      <w:widowControl w:val="off"/>
      <w:wordWrap w:val="off"/>
      <w:jc w:val="both"/>
      <w:spacing w:after="160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uiPriority w:val="99"/>
    <w:basedOn w:val="a0"/>
    <w:unhideWhenUsed/>
    <w:pPr>
      <w:contextualSpacing/>
      <w:numPr>
        <w:ilvl w:val="0"/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한아름</cp:lastModifiedBy>
  <cp:revision>1</cp:revision>
  <dcterms:created xsi:type="dcterms:W3CDTF">2022-10-30T23:38:00Z</dcterms:created>
  <dcterms:modified xsi:type="dcterms:W3CDTF">2022-11-03T00:07:52Z</dcterms:modified>
  <cp:version>1000.0100.01</cp:version>
</cp:coreProperties>
</file>